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A" w:rsidRDefault="000E1EF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知</w:t>
      </w:r>
    </w:p>
    <w:p w:rsidR="000830BA" w:rsidRDefault="000830BA">
      <w:pPr>
        <w:spacing w:line="360" w:lineRule="auto"/>
        <w:rPr>
          <w:rFonts w:ascii="仿宋" w:eastAsia="仿宋" w:hAnsi="仿宋"/>
          <w:spacing w:val="20"/>
          <w:sz w:val="30"/>
          <w:szCs w:val="30"/>
        </w:rPr>
      </w:pPr>
    </w:p>
    <w:p w:rsidR="000830BA" w:rsidRDefault="000E1EF0">
      <w:pPr>
        <w:spacing w:line="360" w:lineRule="auto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辖区内各二、三级定点医疗机构：</w:t>
      </w:r>
    </w:p>
    <w:p w:rsidR="000830BA" w:rsidRDefault="000E1EF0">
      <w:pPr>
        <w:spacing w:line="360" w:lineRule="auto"/>
        <w:ind w:firstLineChars="200" w:firstLine="72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为加强打击欺诈骗取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保基金专项行动力度，强化舆论引导作用，北京市医疗保障局确定2019年4月为打击欺诈骗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保集中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宣传月，集中宣传解读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保基金监管法律法规与政策规定，强化定点医药机构和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参保人员法制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意识，自觉维护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保基金安全。</w:t>
      </w:r>
    </w:p>
    <w:p w:rsidR="000830BA" w:rsidRDefault="000E1EF0">
      <w:pPr>
        <w:spacing w:line="360" w:lineRule="auto"/>
        <w:ind w:firstLineChars="200" w:firstLine="72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本次集中宣传月工作时间紧、任务重，请各定点医疗机构高度重视此次宣传工作，明确分工、责任到人，积极配合宣传工作，具体要求如下：</w:t>
      </w:r>
    </w:p>
    <w:p w:rsidR="000830BA" w:rsidRDefault="000E1EF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宣传材料发放及张贴要求：</w:t>
      </w:r>
    </w:p>
    <w:p w:rsidR="000830BA" w:rsidRDefault="000E1EF0">
      <w:pPr>
        <w:spacing w:line="360" w:lineRule="auto"/>
        <w:ind w:left="560"/>
        <w:rPr>
          <w:rFonts w:ascii="仿宋" w:eastAsia="仿宋" w:hAnsi="仿宋"/>
          <w:b/>
          <w:bCs/>
          <w:spacing w:val="2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20"/>
          <w:sz w:val="32"/>
          <w:szCs w:val="32"/>
        </w:rPr>
        <w:t>（一）发放材料包括：</w:t>
      </w:r>
    </w:p>
    <w:p w:rsidR="000830BA" w:rsidRDefault="000E1EF0">
      <w:pPr>
        <w:spacing w:line="360" w:lineRule="auto"/>
        <w:ind w:firstLineChars="300" w:firstLine="108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1、海报：主海报：10张；</w:t>
      </w:r>
    </w:p>
    <w:p w:rsidR="00AB6286" w:rsidRDefault="00AB6286" w:rsidP="00AB6286">
      <w:pPr>
        <w:spacing w:line="360" w:lineRule="auto"/>
        <w:ind w:firstLineChars="300" w:firstLine="108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 xml:space="preserve">        </w:t>
      </w:r>
      <w:r w:rsidR="00C63E1A">
        <w:rPr>
          <w:rFonts w:ascii="仿宋" w:eastAsia="仿宋" w:hAnsi="仿宋" w:hint="eastAsia"/>
          <w:spacing w:val="20"/>
          <w:sz w:val="32"/>
          <w:szCs w:val="32"/>
        </w:rPr>
        <w:t>定点</w:t>
      </w:r>
      <w:bookmarkStart w:id="0" w:name="_GoBack"/>
      <w:bookmarkEnd w:id="0"/>
      <w:r>
        <w:rPr>
          <w:rFonts w:ascii="仿宋" w:eastAsia="仿宋" w:hAnsi="仿宋" w:hint="eastAsia"/>
          <w:spacing w:val="20"/>
          <w:sz w:val="32"/>
          <w:szCs w:val="32"/>
        </w:rPr>
        <w:t>医疗机构海报：10张；</w:t>
      </w:r>
    </w:p>
    <w:p w:rsidR="000830BA" w:rsidRDefault="000E1EF0" w:rsidP="00AB6286">
      <w:pPr>
        <w:spacing w:line="360" w:lineRule="auto"/>
        <w:ind w:firstLineChars="700" w:firstLine="252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参保人员海报</w:t>
      </w:r>
      <w:r>
        <w:rPr>
          <w:rFonts w:ascii="仿宋" w:eastAsia="仿宋" w:hAnsi="仿宋"/>
          <w:spacing w:val="20"/>
          <w:sz w:val="32"/>
          <w:szCs w:val="32"/>
        </w:rPr>
        <w:fldChar w:fldCharType="begin"/>
      </w:r>
      <w:r>
        <w:rPr>
          <w:rFonts w:ascii="仿宋" w:eastAsia="仿宋" w:hAnsi="仿宋"/>
          <w:spacing w:val="2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pacing w:val="20"/>
          <w:sz w:val="32"/>
          <w:szCs w:val="32"/>
        </w:rPr>
        <w:instrText>= 1 \* GB2</w:instrText>
      </w:r>
      <w:r>
        <w:rPr>
          <w:rFonts w:ascii="仿宋" w:eastAsia="仿宋" w:hAnsi="仿宋"/>
          <w:spacing w:val="20"/>
          <w:sz w:val="32"/>
          <w:szCs w:val="32"/>
        </w:rPr>
        <w:instrText xml:space="preserve"> </w:instrText>
      </w:r>
      <w:r>
        <w:rPr>
          <w:rFonts w:ascii="仿宋" w:eastAsia="仿宋" w:hAnsi="仿宋"/>
          <w:spacing w:val="20"/>
          <w:sz w:val="32"/>
          <w:szCs w:val="32"/>
        </w:rPr>
        <w:fldChar w:fldCharType="separate"/>
      </w:r>
      <w:r>
        <w:rPr>
          <w:rFonts w:ascii="仿宋" w:eastAsia="仿宋" w:hAnsi="仿宋" w:hint="eastAsia"/>
          <w:spacing w:val="20"/>
          <w:sz w:val="32"/>
          <w:szCs w:val="32"/>
        </w:rPr>
        <w:t>⑴</w:t>
      </w:r>
      <w:r>
        <w:rPr>
          <w:rFonts w:ascii="仿宋" w:eastAsia="仿宋" w:hAnsi="仿宋"/>
          <w:spacing w:val="20"/>
          <w:sz w:val="32"/>
          <w:szCs w:val="32"/>
        </w:rPr>
        <w:fldChar w:fldCharType="end"/>
      </w:r>
      <w:r>
        <w:rPr>
          <w:rFonts w:ascii="仿宋" w:eastAsia="仿宋" w:hAnsi="仿宋" w:hint="eastAsia"/>
          <w:spacing w:val="20"/>
          <w:sz w:val="32"/>
          <w:szCs w:val="32"/>
        </w:rPr>
        <w:t>：10张；</w:t>
      </w:r>
    </w:p>
    <w:p w:rsidR="000830BA" w:rsidRDefault="000E1EF0" w:rsidP="00AB6286">
      <w:pPr>
        <w:spacing w:line="360" w:lineRule="auto"/>
        <w:ind w:firstLineChars="700" w:firstLine="252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参保人员海报</w:t>
      </w:r>
      <w:r>
        <w:rPr>
          <w:rFonts w:ascii="仿宋" w:eastAsia="仿宋" w:hAnsi="仿宋"/>
          <w:spacing w:val="20"/>
          <w:sz w:val="32"/>
          <w:szCs w:val="32"/>
        </w:rPr>
        <w:fldChar w:fldCharType="begin"/>
      </w:r>
      <w:r>
        <w:rPr>
          <w:rFonts w:ascii="仿宋" w:eastAsia="仿宋" w:hAnsi="仿宋"/>
          <w:spacing w:val="20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pacing w:val="20"/>
          <w:sz w:val="32"/>
          <w:szCs w:val="32"/>
        </w:rPr>
        <w:instrText>= 2 \* GB2</w:instrText>
      </w:r>
      <w:r>
        <w:rPr>
          <w:rFonts w:ascii="仿宋" w:eastAsia="仿宋" w:hAnsi="仿宋"/>
          <w:spacing w:val="20"/>
          <w:sz w:val="32"/>
          <w:szCs w:val="32"/>
        </w:rPr>
        <w:instrText xml:space="preserve"> </w:instrText>
      </w:r>
      <w:r>
        <w:rPr>
          <w:rFonts w:ascii="仿宋" w:eastAsia="仿宋" w:hAnsi="仿宋"/>
          <w:spacing w:val="20"/>
          <w:sz w:val="32"/>
          <w:szCs w:val="32"/>
        </w:rPr>
        <w:fldChar w:fldCharType="separate"/>
      </w:r>
      <w:r>
        <w:rPr>
          <w:rFonts w:ascii="仿宋" w:eastAsia="仿宋" w:hAnsi="仿宋" w:hint="eastAsia"/>
          <w:spacing w:val="20"/>
          <w:sz w:val="32"/>
          <w:szCs w:val="32"/>
        </w:rPr>
        <w:t>⑵</w:t>
      </w:r>
      <w:r>
        <w:rPr>
          <w:rFonts w:ascii="仿宋" w:eastAsia="仿宋" w:hAnsi="仿宋"/>
          <w:spacing w:val="20"/>
          <w:sz w:val="32"/>
          <w:szCs w:val="32"/>
        </w:rPr>
        <w:fldChar w:fldCharType="end"/>
      </w:r>
      <w:r>
        <w:rPr>
          <w:rFonts w:ascii="仿宋" w:eastAsia="仿宋" w:hAnsi="仿宋" w:hint="eastAsia"/>
          <w:spacing w:val="20"/>
          <w:sz w:val="32"/>
          <w:szCs w:val="32"/>
        </w:rPr>
        <w:t>：10张；</w:t>
      </w:r>
    </w:p>
    <w:p w:rsidR="000830BA" w:rsidRDefault="000E1EF0">
      <w:pPr>
        <w:spacing w:line="360" w:lineRule="auto"/>
        <w:ind w:firstLineChars="300" w:firstLine="108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2、折页：260份</w:t>
      </w:r>
    </w:p>
    <w:p w:rsidR="000830BA" w:rsidRDefault="000E1EF0">
      <w:pPr>
        <w:spacing w:line="360" w:lineRule="auto"/>
        <w:ind w:firstLineChars="200" w:firstLine="723"/>
        <w:rPr>
          <w:rFonts w:ascii="仿宋" w:eastAsia="仿宋" w:hAnsi="仿宋"/>
          <w:b/>
          <w:bCs/>
          <w:spacing w:val="2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20"/>
          <w:sz w:val="32"/>
          <w:szCs w:val="32"/>
        </w:rPr>
        <w:t>（二）海报张贴要求：</w:t>
      </w:r>
    </w:p>
    <w:p w:rsidR="000830BA" w:rsidRDefault="000E1EF0">
      <w:pPr>
        <w:spacing w:line="360" w:lineRule="auto"/>
        <w:ind w:firstLineChars="200" w:firstLine="72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各定点医疗机构在公共场所显著位置至少张贴海报1套；医院多址或有多点门诊的公共场所都需要张贴。</w:t>
      </w:r>
    </w:p>
    <w:p w:rsidR="000830BA" w:rsidRDefault="000E1EF0">
      <w:pPr>
        <w:spacing w:line="360" w:lineRule="auto"/>
        <w:ind w:firstLineChars="200" w:firstLine="723"/>
        <w:rPr>
          <w:rFonts w:ascii="仿宋" w:eastAsia="仿宋" w:hAnsi="仿宋"/>
          <w:b/>
          <w:bCs/>
          <w:spacing w:val="2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20"/>
          <w:sz w:val="32"/>
          <w:szCs w:val="32"/>
        </w:rPr>
        <w:lastRenderedPageBreak/>
        <w:t>（三）折页发放要求：</w:t>
      </w:r>
    </w:p>
    <w:p w:rsidR="000830BA" w:rsidRDefault="000E1EF0">
      <w:pPr>
        <w:spacing w:line="360" w:lineRule="auto"/>
        <w:ind w:firstLineChars="200" w:firstLine="72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可在定点医疗机构对外咨询台或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保办的对外咨询培训中发放；具体发放份数根据各定点医疗机构实际情况进行合理安排。</w:t>
      </w:r>
    </w:p>
    <w:p w:rsidR="000830BA" w:rsidRDefault="000E1EF0">
      <w:pPr>
        <w:spacing w:line="360" w:lineRule="auto"/>
        <w:ind w:firstLineChars="200" w:firstLine="720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二、时间要求：</w:t>
      </w:r>
    </w:p>
    <w:p w:rsidR="000830BA" w:rsidRDefault="000E1EF0">
      <w:pPr>
        <w:spacing w:line="360" w:lineRule="auto"/>
        <w:ind w:firstLineChars="150" w:firstLine="540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（一）各定点医疗机构4月26日（本周五）前完成宣传海报及宣传折页的领取工作。4月28日（本周日）前务必完成宣传海报的张贴工作。</w:t>
      </w:r>
    </w:p>
    <w:p w:rsidR="000830BA" w:rsidRDefault="000E1EF0">
      <w:pPr>
        <w:spacing w:line="360" w:lineRule="auto"/>
        <w:ind w:firstLineChars="150" w:firstLine="540"/>
        <w:jc w:val="left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（二）4月29日开始，市、区两级将开展针对宣传情况的巡查工作。</w:t>
      </w:r>
    </w:p>
    <w:p w:rsidR="000830BA" w:rsidRDefault="000E1EF0">
      <w:pPr>
        <w:spacing w:line="360" w:lineRule="auto"/>
        <w:ind w:firstLineChars="200" w:firstLine="720"/>
        <w:jc w:val="left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三、领取地点：</w:t>
      </w:r>
    </w:p>
    <w:p w:rsidR="000830BA" w:rsidRDefault="000E1EF0">
      <w:pPr>
        <w:spacing w:line="360" w:lineRule="auto"/>
        <w:ind w:firstLineChars="200" w:firstLine="720"/>
        <w:jc w:val="left"/>
        <w:rPr>
          <w:rFonts w:ascii="仿宋" w:eastAsia="仿宋" w:hAnsi="仿宋"/>
          <w:spacing w:val="20"/>
          <w:sz w:val="32"/>
          <w:szCs w:val="32"/>
        </w:rPr>
      </w:pPr>
      <w:r>
        <w:rPr>
          <w:rFonts w:ascii="仿宋" w:eastAsia="仿宋" w:hAnsi="仿宋" w:hint="eastAsia"/>
          <w:spacing w:val="20"/>
          <w:sz w:val="32"/>
          <w:szCs w:val="32"/>
        </w:rPr>
        <w:t>西城区西直门南小街20号，西城社保大厦4层</w:t>
      </w:r>
      <w:proofErr w:type="gramStart"/>
      <w:r>
        <w:rPr>
          <w:rFonts w:ascii="仿宋" w:eastAsia="仿宋" w:hAnsi="仿宋" w:hint="eastAsia"/>
          <w:spacing w:val="20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pacing w:val="20"/>
          <w:sz w:val="32"/>
          <w:szCs w:val="32"/>
        </w:rPr>
        <w:t>保中心4006房间。联系人：程苏军，联系电话：66206014。</w:t>
      </w:r>
    </w:p>
    <w:p w:rsidR="000830BA" w:rsidRDefault="000830BA">
      <w:pPr>
        <w:spacing w:line="360" w:lineRule="auto"/>
        <w:ind w:firstLineChars="200" w:firstLine="680"/>
        <w:jc w:val="left"/>
        <w:rPr>
          <w:rFonts w:ascii="仿宋" w:eastAsia="仿宋" w:hAnsi="仿宋"/>
          <w:spacing w:val="20"/>
          <w:sz w:val="30"/>
          <w:szCs w:val="30"/>
        </w:rPr>
      </w:pPr>
    </w:p>
    <w:p w:rsidR="000830BA" w:rsidRDefault="000830BA">
      <w:pPr>
        <w:spacing w:line="360" w:lineRule="auto"/>
        <w:rPr>
          <w:rFonts w:ascii="仿宋" w:eastAsia="仿宋" w:hAnsi="仿宋"/>
          <w:spacing w:val="20"/>
          <w:sz w:val="30"/>
          <w:szCs w:val="30"/>
        </w:rPr>
      </w:pPr>
    </w:p>
    <w:p w:rsidR="000830BA" w:rsidRDefault="000830BA">
      <w:pPr>
        <w:spacing w:line="360" w:lineRule="auto"/>
        <w:rPr>
          <w:rFonts w:ascii="仿宋" w:eastAsia="仿宋" w:hAnsi="仿宋"/>
          <w:spacing w:val="20"/>
          <w:sz w:val="30"/>
          <w:szCs w:val="30"/>
        </w:rPr>
      </w:pPr>
    </w:p>
    <w:p w:rsidR="000830BA" w:rsidRDefault="000E1EF0">
      <w:pPr>
        <w:spacing w:line="360" w:lineRule="auto"/>
        <w:ind w:leftChars="200" w:left="2800" w:hangingChars="700" w:hanging="2380"/>
        <w:jc w:val="right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西城区打击欺诈骗保专项行动工作组</w:t>
      </w:r>
    </w:p>
    <w:p w:rsidR="000830BA" w:rsidRDefault="000E1EF0">
      <w:pPr>
        <w:spacing w:line="360" w:lineRule="auto"/>
        <w:ind w:leftChars="1334" w:left="2801" w:right="680" w:firstLineChars="450" w:firstLine="1530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2019年4月24日</w:t>
      </w:r>
    </w:p>
    <w:p w:rsidR="000830BA" w:rsidRDefault="000830BA"/>
    <w:sectPr w:rsidR="0008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36" w:rsidRDefault="00DA6836" w:rsidP="00AB6286">
      <w:r>
        <w:separator/>
      </w:r>
    </w:p>
  </w:endnote>
  <w:endnote w:type="continuationSeparator" w:id="0">
    <w:p w:rsidR="00DA6836" w:rsidRDefault="00DA6836" w:rsidP="00AB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36" w:rsidRDefault="00DA6836" w:rsidP="00AB6286">
      <w:r>
        <w:separator/>
      </w:r>
    </w:p>
  </w:footnote>
  <w:footnote w:type="continuationSeparator" w:id="0">
    <w:p w:rsidR="00DA6836" w:rsidRDefault="00DA6836" w:rsidP="00AB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4B74"/>
    <w:multiLevelType w:val="multilevel"/>
    <w:tmpl w:val="56D74B74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2A"/>
    <w:rsid w:val="00033193"/>
    <w:rsid w:val="000830BA"/>
    <w:rsid w:val="000E1EF0"/>
    <w:rsid w:val="00631B93"/>
    <w:rsid w:val="00686613"/>
    <w:rsid w:val="0069356F"/>
    <w:rsid w:val="00740E63"/>
    <w:rsid w:val="0086050F"/>
    <w:rsid w:val="008E2642"/>
    <w:rsid w:val="00916B4D"/>
    <w:rsid w:val="00AB6286"/>
    <w:rsid w:val="00B662AE"/>
    <w:rsid w:val="00BC1B2C"/>
    <w:rsid w:val="00C63E1A"/>
    <w:rsid w:val="00DA5468"/>
    <w:rsid w:val="00DA6836"/>
    <w:rsid w:val="00DF4017"/>
    <w:rsid w:val="00EA412A"/>
    <w:rsid w:val="3E5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2019-04-24T05:16:00Z</dcterms:created>
  <dcterms:modified xsi:type="dcterms:W3CDTF">2019-04-24T05:33:00Z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