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宋体" w:hAnsi="宋体"/>
          <w:sz w:val="32"/>
          <w:szCs w:val="32"/>
        </w:rPr>
      </w:pPr>
      <w:r>
        <w:rPr>
          <w:rFonts w:hint="eastAsia" w:ascii="宋体" w:hAnsi="宋体"/>
          <w:sz w:val="32"/>
          <w:szCs w:val="32"/>
        </w:rPr>
        <w:t>北京大学人民医院EBS系统</w:t>
      </w:r>
      <w:r>
        <w:rPr>
          <w:rFonts w:hint="eastAsia" w:ascii="宋体" w:hAnsi="宋体"/>
          <w:sz w:val="32"/>
          <w:szCs w:val="32"/>
          <w:lang w:val="en-US" w:eastAsia="zh-CN"/>
        </w:rPr>
        <w:t>运维</w:t>
      </w:r>
      <w:bookmarkStart w:id="0" w:name="_GoBack"/>
      <w:bookmarkEnd w:id="0"/>
      <w:r>
        <w:rPr>
          <w:rFonts w:hint="eastAsia" w:ascii="宋体" w:hAnsi="宋体"/>
          <w:sz w:val="32"/>
          <w:szCs w:val="32"/>
        </w:rPr>
        <w:t>（2022-2023）项目招标文件</w:t>
      </w:r>
    </w:p>
    <w:p>
      <w:pPr>
        <w:snapToGrid w:val="0"/>
        <w:spacing w:before="156" w:beforeLines="50" w:line="360" w:lineRule="auto"/>
      </w:pPr>
      <w:r>
        <w:rPr>
          <w:rFonts w:hint="eastAsia"/>
        </w:rPr>
        <w:t>服务期</w:t>
      </w:r>
      <w:r>
        <w:t>：</w:t>
      </w:r>
      <w:r>
        <w:rPr>
          <w:rFonts w:hint="eastAsia"/>
        </w:rPr>
        <w:t>1年</w:t>
      </w:r>
    </w:p>
    <w:p>
      <w:pPr>
        <w:snapToGrid w:val="0"/>
        <w:spacing w:line="360" w:lineRule="auto"/>
        <w:jc w:val="left"/>
        <w:rPr>
          <w:rFonts w:asciiTheme="minorEastAsia" w:hAnsiTheme="minorEastAsia" w:eastAsiaTheme="minorEastAsia"/>
          <w:color w:val="000000"/>
          <w:szCs w:val="21"/>
        </w:rPr>
      </w:pPr>
      <w:r>
        <w:rPr>
          <w:rFonts w:hint="eastAsia"/>
        </w:rPr>
        <w:t>预算</w:t>
      </w:r>
      <w:r>
        <w:t>：</w:t>
      </w:r>
      <w:r>
        <w:rPr>
          <w:rFonts w:hint="eastAsia"/>
        </w:rPr>
        <w:t xml:space="preserve"> 495000元</w:t>
      </w:r>
    </w:p>
    <w:p>
      <w:pPr>
        <w:snapToGrid w:val="0"/>
        <w:spacing w:line="360" w:lineRule="auto"/>
        <w:jc w:val="left"/>
        <w:rPr>
          <w:rFonts w:asciiTheme="minorEastAsia" w:hAnsiTheme="minorEastAsia" w:eastAsiaTheme="minorEastAsia"/>
          <w:color w:val="000000"/>
          <w:szCs w:val="21"/>
        </w:rPr>
      </w:pP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一</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为满足财务处、招采中心、总务处、医学装备处、药学部及其他相关科室使用EBS系统需求，拟对EBS系统运维（2022-2023）项目进行院内招标采购。采购项目内容及招标参数：</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1、</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维护内容为EBS系统的功能及接口维护，保证系统能够正常运转，支持日常业务。</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相关模块：总账、应付、资产、采购、库存、流程制造财务管理等。主要业务功能范围：财务管理（总账、收入稽核平台、应付、成本分摊、预算转换等），固定资产（设备、家具、图书、房屋及构筑物）与无形资产管理，药品、高值医用耗材、低值医用耗材、后勤物资、体外诊断试剂、设备维修配件、设备低值配件采购、库存及费用管理等。</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范围：北京大学人民医院西直门院区、白塔寺院区、海淀院区、通州院区。</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运维服务范围：</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2.1</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对用户提出的问题查找原因并解决；</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2.2</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用户操作指导；</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2.3</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根据用户需求进行数据处理与统计；</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2.4</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系统测试与验证；</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2.5</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解决程序Bug；</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2.6</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系统巡检服务：应用系统与数据库运行环境、性能、作业执行情况监测；</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2.7</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重启服务：由于服务器端某些服务造成系统功能异常时，重启相关应用或服务；</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2.8</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根据用户要求提供补丁安装等服务；保障系统安全；</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2.9</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在不超过运维约定总人天数前提下，适应和满足用户需求的变化，针对用户提出的需求，通过需求分析、方案设计、功能配置实现。</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3、</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系统故障响应及处理：</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3.1</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常规运维：工作日5*8小时驻场技术服务，驻场期间第一时间解决故障。</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3.2</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紧急故障问题：提供7*24小时响应和技术支持。非驻场期间承诺1小时内通过电话和网络远程响应，远程无法解决时，4小时内到现场解决故障，要求故障当天解决。保证每月系统非计划停机时间＜45分钟。</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4、</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项目人员及工作要求：</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4.1</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项目人员要求：不少于12人月驻场+65人天远程。包含：1名功能顾问驻场（三年或以上EBS实施经验，熟悉EBS财务与物流模块；有3年或以上EBS实施经验；有良好的沟通能力与解决问题的能力），及DBA服务（远程）及其他远程支持服务。如少于要求人天按核定后的实际工作人天计算合同付款金额。</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4.2</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除正常工作时间外，可2小时内响应院方的紧急要求。</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4.3</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按时提供项目进展的周/月/季报。</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4.4</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正常休假，如年假、病假将安排临时人员顶替，无人员顶替按缺勤处理；或亦可用甲方认可的紧急情况加班、临时工作任务等加班情况抵消。</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4.5</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 xml:space="preserve">在合同期间，应保证运维人员的稳定，除离职外，不能进行人员调整，如果有因离职引起的调整，需提前告知甲方，并安排一个月的交接期，如甲方对运维人员不满意，则需要更换。 </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5、</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验收及付款</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5.1</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验收交付物</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a)</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系统巡检报告</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b)</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运维问题清单</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c)</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开发源代码及可执行程序</w:t>
      </w:r>
    </w:p>
    <w:p>
      <w:pPr>
        <w:snapToGrid w:val="0"/>
        <w:spacing w:line="360" w:lineRule="auto"/>
        <w:jc w:val="left"/>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d)</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操作手册</w:t>
      </w:r>
    </w:p>
    <w:p>
      <w:pPr>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color w:val="000000"/>
          <w:szCs w:val="21"/>
        </w:rPr>
        <w:t>e)</w:t>
      </w:r>
      <w:r>
        <w:rPr>
          <w:rFonts w:hint="eastAsia" w:asciiTheme="minorEastAsia" w:hAnsiTheme="minorEastAsia" w:eastAsiaTheme="minorEastAsia"/>
          <w:color w:val="000000"/>
          <w:szCs w:val="21"/>
        </w:rPr>
        <w:tab/>
      </w:r>
      <w:r>
        <w:rPr>
          <w:rFonts w:hint="eastAsia" w:asciiTheme="minorEastAsia" w:hAnsiTheme="minorEastAsia" w:eastAsiaTheme="minorEastAsia"/>
          <w:color w:val="000000"/>
          <w:szCs w:val="21"/>
        </w:rPr>
        <w:t>验收报告</w:t>
      </w:r>
    </w:p>
    <w:p>
      <w:pPr>
        <w:snapToGrid w:val="0"/>
        <w:spacing w:line="360" w:lineRule="auto"/>
        <w:jc w:val="left"/>
        <w:rPr>
          <w:rFonts w:asciiTheme="minorEastAsia" w:hAnsiTheme="minorEastAsia" w:eastAsiaTheme="minorEastAsia"/>
          <w:szCs w:val="21"/>
        </w:rPr>
      </w:pPr>
    </w:p>
    <w:p>
      <w:pPr>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二、</w:t>
      </w:r>
      <w:r>
        <w:rPr>
          <w:rFonts w:asciiTheme="minorEastAsia" w:hAnsiTheme="minorEastAsia" w:eastAsiaTheme="minorEastAsia"/>
          <w:szCs w:val="21"/>
        </w:rPr>
        <w:t xml:space="preserve">投标人资格要求： </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1.在中华人民共和国注册的具有相关经营范围</w:t>
      </w:r>
      <w:r>
        <w:rPr>
          <w:rFonts w:asciiTheme="minorEastAsia" w:hAnsiTheme="minorEastAsia" w:eastAsiaTheme="minorEastAsia"/>
          <w:szCs w:val="21"/>
        </w:rPr>
        <w:t>的具有独立民事责任的法人，并取得合法企业工商营业执照</w:t>
      </w:r>
      <w:r>
        <w:rPr>
          <w:rFonts w:hint="eastAsia" w:asciiTheme="minorEastAsia" w:hAnsiTheme="minorEastAsia" w:eastAsiaTheme="minorEastAsia"/>
          <w:szCs w:val="21"/>
        </w:rPr>
        <w:t>。</w:t>
      </w:r>
    </w:p>
    <w:p>
      <w:pPr>
        <w:widowControl/>
        <w:spacing w:line="288" w:lineRule="auto"/>
        <w:jc w:val="left"/>
        <w:rPr>
          <w:rFonts w:cs="宋体" w:asciiTheme="minorEastAsia" w:hAnsiTheme="minorEastAsia" w:eastAsiaTheme="minorEastAsia"/>
          <w:color w:val="020001"/>
          <w:kern w:val="0"/>
          <w:szCs w:val="21"/>
        </w:rPr>
      </w:pPr>
      <w:r>
        <w:rPr>
          <w:rFonts w:hint="eastAsia" w:asciiTheme="minorEastAsia" w:hAnsiTheme="minorEastAsia" w:eastAsiaTheme="minorEastAsia"/>
          <w:szCs w:val="21"/>
        </w:rPr>
        <w:t>2.若投标人不是制造商，须提供制造商或</w:t>
      </w:r>
      <w:r>
        <w:fldChar w:fldCharType="begin"/>
      </w:r>
      <w:r>
        <w:instrText xml:space="preserve"> HYPERLINK "http://expo.pharmnet.com.cn/agent_product/" \o "代理" </w:instrText>
      </w:r>
      <w:r>
        <w:fldChar w:fldCharType="separate"/>
      </w:r>
      <w:r>
        <w:rPr>
          <w:rFonts w:hint="eastAsia" w:asciiTheme="minorEastAsia" w:hAnsiTheme="minorEastAsia" w:eastAsiaTheme="minorEastAsia"/>
          <w:szCs w:val="21"/>
        </w:rPr>
        <w:t>代理</w:t>
      </w:r>
      <w:r>
        <w:rPr>
          <w:rFonts w:asciiTheme="minorEastAsia" w:hAnsiTheme="minorEastAsia" w:eastAsiaTheme="minorEastAsia"/>
          <w:szCs w:val="21"/>
        </w:rPr>
        <w:fldChar w:fldCharType="end"/>
      </w:r>
      <w:r>
        <w:rPr>
          <w:rFonts w:hint="eastAsia" w:asciiTheme="minorEastAsia" w:hAnsiTheme="minorEastAsia" w:eastAsiaTheme="minorEastAsia"/>
          <w:szCs w:val="21"/>
        </w:rPr>
        <w:t>商出具对所投产品的合法授权。</w:t>
      </w:r>
    </w:p>
    <w:p>
      <w:pPr>
        <w:widowControl/>
        <w:spacing w:line="288" w:lineRule="auto"/>
        <w:jc w:val="left"/>
        <w:rPr>
          <w:rFonts w:cs="宋体" w:asciiTheme="minorEastAsia" w:hAnsiTheme="minorEastAsia" w:eastAsiaTheme="minorEastAsia"/>
          <w:color w:val="020001"/>
          <w:kern w:val="0"/>
          <w:szCs w:val="21"/>
        </w:rPr>
      </w:pPr>
      <w:r>
        <w:rPr>
          <w:rFonts w:hint="eastAsia" w:asciiTheme="minorEastAsia" w:hAnsiTheme="minorEastAsia" w:eastAsiaTheme="minorEastAsia"/>
          <w:szCs w:val="21"/>
        </w:rPr>
        <w:t>3.投标人必须具有履行合同及具备供货保障能力。</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4.投标人在参加本项招标采购活动的最近两年内，在经营活动中无严重违法记录。</w:t>
      </w:r>
    </w:p>
    <w:p>
      <w:pPr>
        <w:widowControl/>
        <w:spacing w:line="288" w:lineRule="auto"/>
        <w:jc w:val="left"/>
        <w:rPr>
          <w:rFonts w:cs="宋体" w:asciiTheme="minorEastAsia" w:hAnsiTheme="minorEastAsia" w:eastAsiaTheme="minorEastAsia"/>
          <w:color w:val="020001"/>
          <w:kern w:val="0"/>
          <w:szCs w:val="21"/>
        </w:rPr>
      </w:pPr>
      <w:r>
        <w:rPr>
          <w:rFonts w:hint="eastAsia" w:asciiTheme="minorEastAsia" w:hAnsiTheme="minorEastAsia" w:eastAsiaTheme="minorEastAsia"/>
          <w:szCs w:val="21"/>
        </w:rPr>
        <w:t>5.投标人必须提供本项目用户所在地的售后服务。</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6.法律、法规规定的其他条件。</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7.投标人必须提供已有同类产品的用户名单。</w:t>
      </w:r>
    </w:p>
    <w:p>
      <w:pPr>
        <w:spacing w:before="156" w:beforeLines="50" w:line="288" w:lineRule="auto"/>
        <w:jc w:val="left"/>
        <w:rPr>
          <w:rFonts w:asciiTheme="minorEastAsia" w:hAnsiTheme="minorEastAsia" w:eastAsiaTheme="minorEastAsia"/>
          <w:szCs w:val="21"/>
        </w:rPr>
      </w:pPr>
      <w:r>
        <w:rPr>
          <w:rFonts w:hint="eastAsia" w:asciiTheme="minorEastAsia" w:hAnsiTheme="minorEastAsia" w:eastAsiaTheme="minorEastAsia"/>
          <w:color w:val="000000"/>
          <w:szCs w:val="21"/>
        </w:rPr>
        <w:t>我院自行组织采购，院内公开招标。</w:t>
      </w:r>
      <w:r>
        <w:rPr>
          <w:rFonts w:asciiTheme="minorEastAsia" w:hAnsiTheme="minorEastAsia" w:eastAsiaTheme="minorEastAsia"/>
          <w:szCs w:val="21"/>
        </w:rPr>
        <w:t>现邀请</w:t>
      </w:r>
      <w:r>
        <w:rPr>
          <w:rFonts w:hint="eastAsia" w:asciiTheme="minorEastAsia" w:hAnsiTheme="minorEastAsia" w:eastAsiaTheme="minorEastAsia"/>
          <w:szCs w:val="21"/>
        </w:rPr>
        <w:t>有兴趣的投标人</w:t>
      </w:r>
      <w:r>
        <w:rPr>
          <w:rFonts w:asciiTheme="minorEastAsia" w:hAnsiTheme="minorEastAsia" w:eastAsiaTheme="minorEastAsia"/>
          <w:szCs w:val="21"/>
        </w:rPr>
        <w:t>就</w:t>
      </w:r>
      <w:r>
        <w:rPr>
          <w:rFonts w:hint="eastAsia" w:asciiTheme="minorEastAsia" w:hAnsiTheme="minorEastAsia" w:eastAsiaTheme="minorEastAsia"/>
          <w:szCs w:val="21"/>
        </w:rPr>
        <w:t>上述项目</w:t>
      </w:r>
      <w:r>
        <w:rPr>
          <w:rFonts w:asciiTheme="minorEastAsia" w:hAnsiTheme="minorEastAsia" w:eastAsiaTheme="minorEastAsia"/>
          <w:szCs w:val="21"/>
        </w:rPr>
        <w:t>提交投标。</w:t>
      </w:r>
    </w:p>
    <w:p>
      <w:pPr>
        <w:spacing w:before="156" w:beforeLines="50" w:line="288" w:lineRule="auto"/>
        <w:jc w:val="left"/>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三、递交投标文件时间、投标截止时间、开标时间及地点：</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1.投标文件：包括生产厂商资质、代理商资质、授权、产品资质、整体服务</w:t>
      </w:r>
      <w:r>
        <w:rPr>
          <w:rFonts w:asciiTheme="minorEastAsia" w:hAnsiTheme="minorEastAsia" w:eastAsiaTheme="minorEastAsia"/>
          <w:szCs w:val="21"/>
        </w:rPr>
        <w:t>方案、投入项目团队</w:t>
      </w:r>
      <w:r>
        <w:rPr>
          <w:rFonts w:hint="eastAsia" w:asciiTheme="minorEastAsia" w:hAnsiTheme="minorEastAsia" w:eastAsiaTheme="minorEastAsia"/>
          <w:szCs w:val="21"/>
        </w:rPr>
        <w:t>、</w:t>
      </w:r>
      <w:r>
        <w:t>保障措施</w:t>
      </w:r>
      <w:r>
        <w:rPr>
          <w:rFonts w:hint="eastAsia"/>
        </w:rPr>
        <w:t>、拟采取的应急预案(系统故障、人员更替)</w:t>
      </w:r>
      <w:r>
        <w:rPr>
          <w:rFonts w:hint="eastAsia" w:asciiTheme="minorEastAsia" w:hAnsiTheme="minorEastAsia" w:eastAsiaTheme="minorEastAsia"/>
          <w:szCs w:val="21"/>
        </w:rPr>
        <w:t>报价单、投标单位法定代表人授权书（需附法人及投标授权人身份证正反面加盖公章并签名）、投标公司信用查询证明（开标</w:t>
      </w:r>
      <w:r>
        <w:rPr>
          <w:rFonts w:asciiTheme="minorEastAsia" w:hAnsiTheme="minorEastAsia" w:eastAsiaTheme="minorEastAsia"/>
          <w:szCs w:val="21"/>
        </w:rPr>
        <w:t>前三天内查询</w:t>
      </w:r>
      <w:r>
        <w:rPr>
          <w:rFonts w:hint="eastAsia" w:asciiTheme="minorEastAsia" w:hAnsiTheme="minorEastAsia" w:eastAsiaTheme="minorEastAsia"/>
          <w:szCs w:val="21"/>
        </w:rPr>
        <w:t>），近三年业绩（合同）等。以上文件需加盖公章，文件一正四副共五份需胶封、密封。注：投标人可以投一个包或多个包，但不允许拆包投标，即投标人必须对每个包要求的所有货物和服务给予报价，并以包为单位分别独立装订投标文件。每包投标文件正、副本必须分开装订成册。</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2.递交投标文件时间地点：</w:t>
      </w:r>
      <w:r>
        <w:rPr>
          <w:rFonts w:asciiTheme="minorEastAsia" w:hAnsiTheme="minorEastAsia" w:eastAsiaTheme="minorEastAsia"/>
          <w:szCs w:val="21"/>
        </w:rPr>
        <w:t>20</w:t>
      </w:r>
      <w:r>
        <w:rPr>
          <w:rFonts w:hint="eastAsia" w:asciiTheme="minorEastAsia" w:hAnsiTheme="minorEastAsia" w:eastAsiaTheme="minorEastAsia"/>
          <w:szCs w:val="21"/>
        </w:rPr>
        <w:t>2</w:t>
      </w:r>
      <w:r>
        <w:rPr>
          <w:rFonts w:asciiTheme="minorEastAsia" w:hAnsiTheme="minorEastAsia" w:eastAsiaTheme="minorEastAsia"/>
          <w:szCs w:val="21"/>
        </w:rPr>
        <w:t>2</w:t>
      </w:r>
      <w:r>
        <w:rPr>
          <w:rFonts w:hint="eastAsia" w:asciiTheme="minorEastAsia" w:hAnsiTheme="minorEastAsia" w:eastAsiaTheme="minorEastAsia"/>
          <w:szCs w:val="21"/>
        </w:rPr>
        <w:t>年11月16日8：30（北京时间），中仪大厦一层，逾期送达或未密封的投标文件恕不接受。</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3.开标会议时间及地点：开标会议时间：2022年</w:t>
      </w:r>
      <w:r>
        <w:rPr>
          <w:rFonts w:asciiTheme="minorEastAsia" w:hAnsiTheme="minorEastAsia" w:eastAsiaTheme="minorEastAsia"/>
          <w:szCs w:val="21"/>
        </w:rPr>
        <w:t>1</w:t>
      </w:r>
      <w:r>
        <w:rPr>
          <w:rFonts w:hint="eastAsia" w:asciiTheme="minorEastAsia" w:hAnsiTheme="minorEastAsia" w:eastAsiaTheme="minorEastAsia"/>
          <w:szCs w:val="21"/>
        </w:rPr>
        <w:t>1月</w:t>
      </w:r>
      <w:r>
        <w:rPr>
          <w:rFonts w:asciiTheme="minorEastAsia" w:hAnsiTheme="minorEastAsia" w:eastAsiaTheme="minorEastAsia"/>
          <w:szCs w:val="21"/>
        </w:rPr>
        <w:t>1</w:t>
      </w:r>
      <w:r>
        <w:rPr>
          <w:rFonts w:hint="eastAsia" w:asciiTheme="minorEastAsia" w:hAnsiTheme="minorEastAsia" w:eastAsiaTheme="minorEastAsia"/>
          <w:szCs w:val="21"/>
        </w:rPr>
        <w:t>6日9：00分整（北京时间）开始，中仪大厦7024B。</w:t>
      </w:r>
    </w:p>
    <w:p>
      <w:pPr>
        <w:widowControl/>
        <w:spacing w:line="288" w:lineRule="auto"/>
        <w:jc w:val="left"/>
        <w:rPr>
          <w:rFonts w:asciiTheme="minorEastAsia" w:hAnsiTheme="minorEastAsia" w:eastAsiaTheme="minorEastAsia"/>
          <w:szCs w:val="21"/>
        </w:rPr>
      </w:pPr>
      <w:r>
        <w:rPr>
          <w:rFonts w:hint="eastAsia" w:asciiTheme="minorEastAsia" w:hAnsiTheme="minorEastAsia" w:eastAsiaTheme="minorEastAsia"/>
          <w:szCs w:val="21"/>
        </w:rPr>
        <w:t>5.联系人：谢晓添 88324616</w:t>
      </w:r>
    </w:p>
    <w:p>
      <w:pPr>
        <w:widowControl/>
        <w:spacing w:line="288" w:lineRule="auto"/>
        <w:jc w:val="left"/>
        <w:rPr>
          <w:rFonts w:asciiTheme="minorEastAsia" w:hAnsiTheme="minorEastAsia" w:eastAsiaTheme="minorEastAsia"/>
          <w:szCs w:val="21"/>
        </w:rPr>
      </w:pPr>
    </w:p>
    <w:p>
      <w:pPr>
        <w:widowControl/>
        <w:spacing w:line="288" w:lineRule="auto"/>
        <w:jc w:val="left"/>
        <w:rPr>
          <w:rFonts w:ascii="宋体" w:hAnsi="宋体"/>
          <w:szCs w:val="21"/>
        </w:rPr>
      </w:pPr>
      <w:r>
        <w:rPr>
          <w:rFonts w:hint="eastAsia" w:ascii="宋体" w:hAnsi="宋体"/>
          <w:szCs w:val="21"/>
        </w:rPr>
        <w:t>四、评分细则</w:t>
      </w:r>
    </w:p>
    <w:tbl>
      <w:tblPr>
        <w:tblStyle w:val="24"/>
        <w:tblW w:w="8916" w:type="dxa"/>
        <w:jc w:val="center"/>
        <w:tblLayout w:type="autofit"/>
        <w:tblCellMar>
          <w:top w:w="35" w:type="dxa"/>
          <w:left w:w="107" w:type="dxa"/>
          <w:bottom w:w="0" w:type="dxa"/>
          <w:right w:w="0" w:type="dxa"/>
        </w:tblCellMar>
      </w:tblPr>
      <w:tblGrid>
        <w:gridCol w:w="740"/>
        <w:gridCol w:w="715"/>
        <w:gridCol w:w="2699"/>
        <w:gridCol w:w="4762"/>
      </w:tblGrid>
      <w:tr>
        <w:tblPrEx>
          <w:tblCellMar>
            <w:top w:w="35" w:type="dxa"/>
            <w:left w:w="107" w:type="dxa"/>
            <w:bottom w:w="0" w:type="dxa"/>
            <w:right w:w="0" w:type="dxa"/>
          </w:tblCellMar>
        </w:tblPrEx>
        <w:trPr>
          <w:trHeight w:val="354" w:hRule="atLeast"/>
          <w:jc w:val="center"/>
        </w:trPr>
        <w:tc>
          <w:tcPr>
            <w:tcW w:w="740" w:type="dxa"/>
            <w:tcBorders>
              <w:top w:val="double" w:color="000000" w:sz="4" w:space="0"/>
              <w:left w:val="double" w:color="000000" w:sz="4" w:space="0"/>
              <w:bottom w:val="single" w:color="000000" w:sz="6" w:space="0"/>
              <w:right w:val="single" w:color="000000" w:sz="6" w:space="0"/>
            </w:tcBorders>
          </w:tcPr>
          <w:p>
            <w:pPr>
              <w:spacing w:line="259" w:lineRule="auto"/>
              <w:ind w:left="53"/>
              <w:rPr>
                <w:kern w:val="0"/>
                <w:sz w:val="22"/>
                <w:lang w:eastAsia="en-US"/>
              </w:rPr>
            </w:pPr>
            <w:r>
              <w:rPr>
                <w:kern w:val="0"/>
                <w:sz w:val="22"/>
                <w:lang w:eastAsia="en-US"/>
              </w:rPr>
              <w:t>序号</w:t>
            </w:r>
          </w:p>
        </w:tc>
        <w:tc>
          <w:tcPr>
            <w:tcW w:w="715" w:type="dxa"/>
            <w:tcBorders>
              <w:top w:val="double" w:color="000000" w:sz="4" w:space="0"/>
              <w:left w:val="single" w:color="000000" w:sz="6" w:space="0"/>
              <w:bottom w:val="single" w:color="000000" w:sz="6" w:space="0"/>
              <w:right w:val="single" w:color="000000" w:sz="6" w:space="0"/>
            </w:tcBorders>
          </w:tcPr>
          <w:p>
            <w:pPr>
              <w:spacing w:line="259" w:lineRule="auto"/>
              <w:ind w:left="40"/>
              <w:rPr>
                <w:kern w:val="0"/>
                <w:sz w:val="22"/>
                <w:lang w:eastAsia="en-US"/>
              </w:rPr>
            </w:pPr>
            <w:r>
              <w:rPr>
                <w:kern w:val="0"/>
                <w:sz w:val="22"/>
                <w:lang w:eastAsia="en-US"/>
              </w:rPr>
              <w:t>分值</w:t>
            </w:r>
          </w:p>
        </w:tc>
        <w:tc>
          <w:tcPr>
            <w:tcW w:w="2699" w:type="dxa"/>
            <w:tcBorders>
              <w:top w:val="double" w:color="000000" w:sz="4" w:space="0"/>
              <w:left w:val="single" w:color="000000" w:sz="6" w:space="0"/>
              <w:bottom w:val="single" w:color="000000" w:sz="6" w:space="0"/>
              <w:right w:val="single" w:color="000000" w:sz="6" w:space="0"/>
            </w:tcBorders>
          </w:tcPr>
          <w:p>
            <w:pPr>
              <w:spacing w:line="259" w:lineRule="auto"/>
              <w:ind w:right="108"/>
              <w:jc w:val="center"/>
              <w:rPr>
                <w:kern w:val="0"/>
                <w:sz w:val="22"/>
                <w:lang w:eastAsia="en-US"/>
              </w:rPr>
            </w:pPr>
            <w:r>
              <w:rPr>
                <w:kern w:val="0"/>
                <w:sz w:val="22"/>
                <w:lang w:eastAsia="en-US"/>
              </w:rPr>
              <w:t>评分因素分项</w:t>
            </w:r>
          </w:p>
        </w:tc>
        <w:tc>
          <w:tcPr>
            <w:tcW w:w="4762" w:type="dxa"/>
            <w:tcBorders>
              <w:top w:val="double" w:color="000000" w:sz="4" w:space="0"/>
              <w:left w:val="single" w:color="000000" w:sz="6" w:space="0"/>
              <w:bottom w:val="single" w:color="000000" w:sz="6" w:space="0"/>
              <w:right w:val="double" w:color="000000" w:sz="4" w:space="0"/>
            </w:tcBorders>
          </w:tcPr>
          <w:p>
            <w:pPr>
              <w:spacing w:line="259" w:lineRule="auto"/>
              <w:ind w:right="107"/>
              <w:jc w:val="center"/>
              <w:rPr>
                <w:kern w:val="0"/>
                <w:sz w:val="22"/>
                <w:lang w:eastAsia="en-US"/>
              </w:rPr>
            </w:pPr>
            <w:r>
              <w:rPr>
                <w:kern w:val="0"/>
                <w:sz w:val="22"/>
                <w:lang w:eastAsia="en-US"/>
              </w:rPr>
              <w:t>评分标准</w:t>
            </w:r>
          </w:p>
        </w:tc>
      </w:tr>
      <w:tr>
        <w:tblPrEx>
          <w:tblCellMar>
            <w:top w:w="35" w:type="dxa"/>
            <w:left w:w="107" w:type="dxa"/>
            <w:bottom w:w="0" w:type="dxa"/>
            <w:right w:w="0" w:type="dxa"/>
          </w:tblCellMar>
        </w:tblPrEx>
        <w:trPr>
          <w:trHeight w:val="1267" w:hRule="atLeast"/>
          <w:jc w:val="center"/>
        </w:trPr>
        <w:tc>
          <w:tcPr>
            <w:tcW w:w="740" w:type="dxa"/>
            <w:tcBorders>
              <w:top w:val="single" w:color="000000" w:sz="6" w:space="0"/>
              <w:left w:val="double" w:color="000000" w:sz="4" w:space="0"/>
              <w:bottom w:val="single" w:color="000000" w:sz="6" w:space="0"/>
              <w:right w:val="single" w:color="000000" w:sz="6" w:space="0"/>
            </w:tcBorders>
            <w:vAlign w:val="center"/>
          </w:tcPr>
          <w:p>
            <w:pPr>
              <w:spacing w:line="259" w:lineRule="auto"/>
              <w:ind w:left="53"/>
              <w:rPr>
                <w:kern w:val="0"/>
                <w:sz w:val="22"/>
                <w:lang w:eastAsia="en-US"/>
              </w:rPr>
            </w:pPr>
            <w:r>
              <w:rPr>
                <w:kern w:val="0"/>
                <w:sz w:val="22"/>
                <w:lang w:eastAsia="en-US"/>
              </w:rPr>
              <w:t>价格</w:t>
            </w:r>
          </w:p>
        </w:tc>
        <w:tc>
          <w:tcPr>
            <w:tcW w:w="715" w:type="dxa"/>
            <w:tcBorders>
              <w:top w:val="single" w:color="000000" w:sz="6" w:space="0"/>
              <w:left w:val="single" w:color="000000" w:sz="6" w:space="0"/>
              <w:bottom w:val="single" w:color="000000" w:sz="6" w:space="0"/>
              <w:right w:val="single" w:color="000000" w:sz="6" w:space="0"/>
            </w:tcBorders>
            <w:vAlign w:val="center"/>
          </w:tcPr>
          <w:p>
            <w:pPr>
              <w:spacing w:line="259" w:lineRule="auto"/>
              <w:ind w:left="1"/>
              <w:rPr>
                <w:kern w:val="0"/>
                <w:sz w:val="22"/>
                <w:lang w:eastAsia="zh-CN"/>
              </w:rPr>
            </w:pPr>
            <w:r>
              <w:rPr>
                <w:rFonts w:hint="eastAsia"/>
                <w:kern w:val="0"/>
                <w:sz w:val="22"/>
                <w:lang w:eastAsia="zh-CN"/>
              </w:rPr>
              <w:t>2</w:t>
            </w:r>
            <w:r>
              <w:rPr>
                <w:kern w:val="0"/>
                <w:sz w:val="22"/>
                <w:lang w:eastAsia="zh-CN"/>
              </w:rPr>
              <w:t>0</w:t>
            </w:r>
          </w:p>
        </w:tc>
        <w:tc>
          <w:tcPr>
            <w:tcW w:w="2699" w:type="dxa"/>
            <w:tcBorders>
              <w:top w:val="single" w:color="000000" w:sz="6" w:space="0"/>
              <w:left w:val="single" w:color="000000" w:sz="6" w:space="0"/>
              <w:bottom w:val="single" w:color="000000" w:sz="6" w:space="0"/>
              <w:right w:val="single" w:color="000000" w:sz="6" w:space="0"/>
            </w:tcBorders>
            <w:vAlign w:val="center"/>
          </w:tcPr>
          <w:p>
            <w:pPr>
              <w:spacing w:line="259" w:lineRule="auto"/>
              <w:rPr>
                <w:kern w:val="0"/>
                <w:sz w:val="22"/>
                <w:lang w:eastAsia="en-US"/>
              </w:rPr>
            </w:pPr>
            <w:r>
              <w:rPr>
                <w:kern w:val="0"/>
                <w:sz w:val="22"/>
                <w:lang w:eastAsia="en-US"/>
              </w:rPr>
              <w:t>评标价格</w:t>
            </w:r>
          </w:p>
        </w:tc>
        <w:tc>
          <w:tcPr>
            <w:tcW w:w="4762" w:type="dxa"/>
            <w:tcBorders>
              <w:top w:val="single" w:color="000000" w:sz="6" w:space="0"/>
              <w:left w:val="single" w:color="000000" w:sz="6" w:space="0"/>
              <w:bottom w:val="single" w:color="000000" w:sz="6" w:space="0"/>
              <w:right w:val="double" w:color="000000" w:sz="4" w:space="0"/>
            </w:tcBorders>
          </w:tcPr>
          <w:p>
            <w:pPr>
              <w:spacing w:line="275" w:lineRule="auto"/>
              <w:ind w:left="1"/>
              <w:rPr>
                <w:kern w:val="0"/>
                <w:sz w:val="22"/>
                <w:lang w:eastAsia="zh-CN"/>
              </w:rPr>
            </w:pPr>
            <w:r>
              <w:rPr>
                <w:kern w:val="0"/>
                <w:sz w:val="22"/>
                <w:lang w:eastAsia="zh-CN"/>
              </w:rPr>
              <w:t>评标价格分数=（评标基准价/投标报价）×价格权重（</w:t>
            </w:r>
            <w:r>
              <w:rPr>
                <w:rFonts w:hint="eastAsia"/>
                <w:kern w:val="0"/>
                <w:sz w:val="22"/>
                <w:lang w:eastAsia="zh-CN"/>
              </w:rPr>
              <w:t>2</w:t>
            </w:r>
            <w:r>
              <w:rPr>
                <w:kern w:val="0"/>
                <w:sz w:val="22"/>
                <w:lang w:eastAsia="zh-CN"/>
              </w:rPr>
              <w:t>0%）×100</w:t>
            </w:r>
          </w:p>
          <w:p>
            <w:pPr>
              <w:spacing w:line="259" w:lineRule="auto"/>
              <w:ind w:left="1"/>
              <w:rPr>
                <w:kern w:val="0"/>
                <w:sz w:val="22"/>
                <w:lang w:eastAsia="zh-CN"/>
              </w:rPr>
            </w:pPr>
            <w:r>
              <w:rPr>
                <w:kern w:val="0"/>
                <w:sz w:val="22"/>
                <w:lang w:eastAsia="zh-CN"/>
              </w:rPr>
              <w:t>备注：实质性响应招标文件要求且价格低的投标报价为评标基准价</w:t>
            </w:r>
          </w:p>
        </w:tc>
      </w:tr>
      <w:tr>
        <w:tblPrEx>
          <w:tblCellMar>
            <w:top w:w="35" w:type="dxa"/>
            <w:left w:w="107" w:type="dxa"/>
            <w:bottom w:w="0" w:type="dxa"/>
            <w:right w:w="0" w:type="dxa"/>
          </w:tblCellMar>
        </w:tblPrEx>
        <w:trPr>
          <w:trHeight w:val="1493" w:hRule="atLeast"/>
          <w:jc w:val="center"/>
        </w:trPr>
        <w:tc>
          <w:tcPr>
            <w:tcW w:w="740" w:type="dxa"/>
            <w:vMerge w:val="restart"/>
            <w:tcBorders>
              <w:top w:val="single" w:color="000000" w:sz="6" w:space="0"/>
              <w:left w:val="double" w:color="000000" w:sz="4" w:space="0"/>
              <w:bottom w:val="single" w:color="000000" w:sz="6" w:space="0"/>
              <w:right w:val="single" w:color="000000" w:sz="6" w:space="0"/>
            </w:tcBorders>
            <w:vAlign w:val="center"/>
          </w:tcPr>
          <w:p>
            <w:pPr>
              <w:spacing w:line="259" w:lineRule="auto"/>
              <w:jc w:val="center"/>
              <w:rPr>
                <w:kern w:val="0"/>
                <w:sz w:val="22"/>
                <w:lang w:eastAsia="en-US"/>
              </w:rPr>
            </w:pPr>
            <w:r>
              <w:rPr>
                <w:kern w:val="0"/>
                <w:sz w:val="22"/>
                <w:lang w:eastAsia="en-US"/>
              </w:rPr>
              <w:t>商务部分</w:t>
            </w:r>
          </w:p>
        </w:tc>
        <w:tc>
          <w:tcPr>
            <w:tcW w:w="715" w:type="dxa"/>
            <w:vMerge w:val="restart"/>
            <w:tcBorders>
              <w:top w:val="single" w:color="000000" w:sz="6" w:space="0"/>
              <w:left w:val="single" w:color="000000" w:sz="6" w:space="0"/>
              <w:bottom w:val="single" w:color="000000" w:sz="6" w:space="0"/>
              <w:right w:val="single" w:color="000000" w:sz="6" w:space="0"/>
            </w:tcBorders>
            <w:vAlign w:val="center"/>
          </w:tcPr>
          <w:p>
            <w:pPr>
              <w:spacing w:line="259" w:lineRule="auto"/>
              <w:ind w:left="1"/>
              <w:rPr>
                <w:kern w:val="0"/>
                <w:sz w:val="22"/>
                <w:lang w:eastAsia="zh-CN"/>
              </w:rPr>
            </w:pPr>
            <w:r>
              <w:rPr>
                <w:rFonts w:hint="eastAsia"/>
                <w:kern w:val="0"/>
                <w:sz w:val="22"/>
                <w:lang w:eastAsia="zh-CN"/>
              </w:rPr>
              <w:t>2</w:t>
            </w:r>
            <w:r>
              <w:rPr>
                <w:kern w:val="0"/>
                <w:sz w:val="22"/>
                <w:lang w:eastAsia="zh-CN"/>
              </w:rPr>
              <w:t>5</w:t>
            </w:r>
          </w:p>
        </w:tc>
        <w:tc>
          <w:tcPr>
            <w:tcW w:w="2699" w:type="dxa"/>
            <w:tcBorders>
              <w:top w:val="single" w:color="000000" w:sz="6" w:space="0"/>
              <w:left w:val="single" w:color="000000" w:sz="6" w:space="0"/>
              <w:bottom w:val="single" w:color="000000" w:sz="6" w:space="0"/>
              <w:right w:val="single" w:color="000000" w:sz="6" w:space="0"/>
            </w:tcBorders>
            <w:vAlign w:val="center"/>
          </w:tcPr>
          <w:p>
            <w:pPr>
              <w:spacing w:after="18" w:line="259" w:lineRule="auto"/>
              <w:rPr>
                <w:kern w:val="0"/>
                <w:sz w:val="22"/>
                <w:lang w:eastAsia="zh-CN"/>
              </w:rPr>
            </w:pPr>
            <w:r>
              <w:rPr>
                <w:kern w:val="0"/>
                <w:sz w:val="22"/>
                <w:lang w:eastAsia="zh-CN"/>
              </w:rPr>
              <w:t>对投标人企业</w:t>
            </w:r>
            <w:r>
              <w:rPr>
                <w:rFonts w:hint="eastAsia"/>
                <w:kern w:val="0"/>
                <w:sz w:val="22"/>
                <w:lang w:eastAsia="zh-CN"/>
              </w:rPr>
              <w:t>资质</w:t>
            </w:r>
            <w:r>
              <w:rPr>
                <w:kern w:val="0"/>
                <w:sz w:val="22"/>
                <w:lang w:eastAsia="zh-CN"/>
              </w:rPr>
              <w:t>的评价</w:t>
            </w:r>
          </w:p>
          <w:p>
            <w:pPr>
              <w:spacing w:line="259" w:lineRule="auto"/>
              <w:rPr>
                <w:kern w:val="0"/>
                <w:sz w:val="22"/>
                <w:lang w:eastAsia="en-US"/>
              </w:rPr>
            </w:pPr>
            <w:r>
              <w:rPr>
                <w:kern w:val="0"/>
                <w:sz w:val="22"/>
                <w:lang w:eastAsia="en-US"/>
              </w:rPr>
              <w:t>（</w:t>
            </w:r>
            <w:r>
              <w:rPr>
                <w:rFonts w:hint="eastAsia"/>
                <w:kern w:val="0"/>
                <w:sz w:val="22"/>
                <w:lang w:eastAsia="zh-CN"/>
              </w:rPr>
              <w:t>5</w:t>
            </w:r>
            <w:r>
              <w:rPr>
                <w:kern w:val="0"/>
                <w:sz w:val="22"/>
                <w:lang w:eastAsia="en-US"/>
              </w:rPr>
              <w:t>分）</w:t>
            </w:r>
          </w:p>
        </w:tc>
        <w:tc>
          <w:tcPr>
            <w:tcW w:w="4762" w:type="dxa"/>
            <w:tcBorders>
              <w:top w:val="single" w:color="000000" w:sz="6" w:space="0"/>
              <w:left w:val="single" w:color="000000" w:sz="6" w:space="0"/>
              <w:bottom w:val="single" w:color="000000" w:sz="6" w:space="0"/>
              <w:right w:val="double" w:color="000000" w:sz="4" w:space="0"/>
            </w:tcBorders>
          </w:tcPr>
          <w:p>
            <w:pPr>
              <w:spacing w:line="239" w:lineRule="auto"/>
              <w:rPr>
                <w:kern w:val="0"/>
                <w:sz w:val="22"/>
                <w:lang w:eastAsia="zh-CN"/>
              </w:rPr>
            </w:pPr>
            <w:r>
              <w:rPr>
                <w:kern w:val="0"/>
                <w:sz w:val="22"/>
                <w:lang w:eastAsia="zh-CN"/>
              </w:rPr>
              <w:t>投标人具有ISO20000信息技术服务管理体系认证证书, 得</w:t>
            </w:r>
            <w:r>
              <w:rPr>
                <w:rFonts w:hint="eastAsia"/>
                <w:kern w:val="0"/>
                <w:sz w:val="22"/>
                <w:lang w:eastAsia="zh-CN"/>
              </w:rPr>
              <w:t>2</w:t>
            </w:r>
            <w:r>
              <w:rPr>
                <w:kern w:val="0"/>
                <w:sz w:val="22"/>
                <w:lang w:eastAsia="zh-CN"/>
              </w:rPr>
              <w:t>分；没有得0分</w:t>
            </w:r>
            <w:r>
              <w:rPr>
                <w:rFonts w:hint="eastAsia"/>
                <w:kern w:val="0"/>
                <w:sz w:val="22"/>
                <w:lang w:eastAsia="zh-CN"/>
              </w:rPr>
              <w:t>。</w:t>
            </w:r>
          </w:p>
          <w:p>
            <w:pPr>
              <w:spacing w:line="239" w:lineRule="auto"/>
              <w:rPr>
                <w:kern w:val="0"/>
                <w:sz w:val="22"/>
                <w:lang w:eastAsia="zh-CN"/>
              </w:rPr>
            </w:pPr>
            <w:r>
              <w:rPr>
                <w:kern w:val="0"/>
                <w:sz w:val="22"/>
                <w:lang w:eastAsia="zh-CN"/>
              </w:rPr>
              <w:t>投标人具有ISO27001信息安全管理体系认证证书，得</w:t>
            </w:r>
            <w:r>
              <w:rPr>
                <w:rFonts w:hint="eastAsia"/>
                <w:kern w:val="0"/>
                <w:sz w:val="22"/>
                <w:lang w:eastAsia="zh-CN"/>
              </w:rPr>
              <w:t>3</w:t>
            </w:r>
            <w:r>
              <w:rPr>
                <w:kern w:val="0"/>
                <w:sz w:val="22"/>
                <w:lang w:eastAsia="zh-CN"/>
              </w:rPr>
              <w:t>分；没有得0分。</w:t>
            </w:r>
          </w:p>
          <w:p>
            <w:pPr>
              <w:spacing w:line="259" w:lineRule="auto"/>
              <w:ind w:left="1"/>
              <w:rPr>
                <w:kern w:val="0"/>
                <w:sz w:val="22"/>
                <w:lang w:eastAsia="zh-CN"/>
              </w:rPr>
            </w:pPr>
            <w:r>
              <w:rPr>
                <w:kern w:val="0"/>
                <w:sz w:val="22"/>
                <w:lang w:eastAsia="zh-CN"/>
              </w:rPr>
              <w:t>注：须提供证书复印件加盖公章，否则不予认可。</w:t>
            </w:r>
          </w:p>
        </w:tc>
      </w:tr>
      <w:tr>
        <w:tblPrEx>
          <w:tblCellMar>
            <w:top w:w="35" w:type="dxa"/>
            <w:left w:w="107" w:type="dxa"/>
            <w:bottom w:w="0" w:type="dxa"/>
            <w:right w:w="0" w:type="dxa"/>
          </w:tblCellMar>
        </w:tblPrEx>
        <w:trPr>
          <w:trHeight w:val="1267" w:hRule="atLeast"/>
          <w:jc w:val="center"/>
        </w:trPr>
        <w:tc>
          <w:tcPr>
            <w:tcW w:w="0" w:type="auto"/>
            <w:vMerge w:val="continue"/>
            <w:tcBorders>
              <w:top w:val="nil"/>
              <w:left w:val="double" w:color="000000" w:sz="4" w:space="0"/>
              <w:bottom w:val="single" w:color="000000" w:sz="6" w:space="0"/>
              <w:right w:val="single" w:color="000000" w:sz="6" w:space="0"/>
            </w:tcBorders>
          </w:tcPr>
          <w:p>
            <w:pPr>
              <w:spacing w:after="160" w:line="259" w:lineRule="auto"/>
              <w:rPr>
                <w:kern w:val="0"/>
                <w:sz w:val="22"/>
                <w:lang w:eastAsia="zh-CN"/>
              </w:rPr>
            </w:pPr>
          </w:p>
        </w:tc>
        <w:tc>
          <w:tcPr>
            <w:tcW w:w="0" w:type="auto"/>
            <w:vMerge w:val="continue"/>
            <w:tcBorders>
              <w:top w:val="nil"/>
              <w:left w:val="single" w:color="000000" w:sz="6" w:space="0"/>
              <w:bottom w:val="single" w:color="000000" w:sz="6" w:space="0"/>
              <w:right w:val="single" w:color="000000" w:sz="6" w:space="0"/>
            </w:tcBorders>
          </w:tcPr>
          <w:p>
            <w:pPr>
              <w:spacing w:after="160" w:line="259" w:lineRule="auto"/>
              <w:rPr>
                <w:kern w:val="0"/>
                <w:sz w:val="22"/>
                <w:lang w:eastAsia="zh-CN"/>
              </w:rPr>
            </w:pPr>
          </w:p>
        </w:tc>
        <w:tc>
          <w:tcPr>
            <w:tcW w:w="2699" w:type="dxa"/>
            <w:tcBorders>
              <w:top w:val="single" w:color="000000" w:sz="6" w:space="0"/>
              <w:left w:val="single" w:color="000000" w:sz="6" w:space="0"/>
              <w:bottom w:val="single" w:color="000000" w:sz="6" w:space="0"/>
              <w:right w:val="single" w:color="000000" w:sz="6" w:space="0"/>
            </w:tcBorders>
            <w:vAlign w:val="center"/>
          </w:tcPr>
          <w:p>
            <w:pPr>
              <w:spacing w:line="259" w:lineRule="auto"/>
              <w:rPr>
                <w:kern w:val="0"/>
                <w:sz w:val="22"/>
                <w:lang w:eastAsia="zh-CN"/>
              </w:rPr>
            </w:pPr>
            <w:r>
              <w:rPr>
                <w:kern w:val="0"/>
                <w:sz w:val="22"/>
                <w:lang w:eastAsia="zh-CN"/>
              </w:rPr>
              <w:t>投标人完成类似项目业绩情况（</w:t>
            </w:r>
            <w:r>
              <w:rPr>
                <w:rFonts w:hint="eastAsia"/>
                <w:kern w:val="0"/>
                <w:sz w:val="22"/>
                <w:lang w:eastAsia="zh-CN"/>
              </w:rPr>
              <w:t>2</w:t>
            </w:r>
            <w:r>
              <w:rPr>
                <w:kern w:val="0"/>
                <w:sz w:val="22"/>
                <w:lang w:eastAsia="zh-CN"/>
              </w:rPr>
              <w:t>0分）</w:t>
            </w:r>
          </w:p>
        </w:tc>
        <w:tc>
          <w:tcPr>
            <w:tcW w:w="4762" w:type="dxa"/>
            <w:tcBorders>
              <w:top w:val="single" w:color="000000" w:sz="6" w:space="0"/>
              <w:left w:val="single" w:color="000000" w:sz="6" w:space="0"/>
              <w:bottom w:val="single" w:color="000000" w:sz="6" w:space="0"/>
              <w:right w:val="double" w:color="000000" w:sz="4" w:space="0"/>
            </w:tcBorders>
          </w:tcPr>
          <w:p>
            <w:pPr>
              <w:spacing w:line="259" w:lineRule="auto"/>
              <w:ind w:left="1"/>
              <w:rPr>
                <w:kern w:val="0"/>
                <w:sz w:val="22"/>
                <w:lang w:eastAsia="zh-CN"/>
              </w:rPr>
            </w:pPr>
            <w:r>
              <w:rPr>
                <w:kern w:val="0"/>
                <w:sz w:val="22"/>
                <w:lang w:eastAsia="zh-CN"/>
              </w:rPr>
              <w:t>根据投标人近三年（201</w:t>
            </w:r>
            <w:r>
              <w:rPr>
                <w:rFonts w:hint="eastAsia"/>
                <w:kern w:val="0"/>
                <w:sz w:val="22"/>
                <w:lang w:eastAsia="zh-CN"/>
              </w:rPr>
              <w:t>9</w:t>
            </w:r>
            <w:r>
              <w:rPr>
                <w:kern w:val="0"/>
                <w:sz w:val="22"/>
                <w:lang w:eastAsia="zh-CN"/>
              </w:rPr>
              <w:t>年</w:t>
            </w:r>
            <w:r>
              <w:rPr>
                <w:rFonts w:hint="eastAsia"/>
                <w:kern w:val="0"/>
                <w:sz w:val="22"/>
                <w:lang w:eastAsia="zh-CN"/>
              </w:rPr>
              <w:t>11</w:t>
            </w:r>
            <w:r>
              <w:rPr>
                <w:kern w:val="0"/>
                <w:sz w:val="22"/>
                <w:lang w:eastAsia="zh-CN"/>
              </w:rPr>
              <w:t>月至今）在三甲医院从事类似项目业绩进行评价，（须提供合同首页、合同金额页、盖章页复印件并加盖本单位公章），提供一个得</w:t>
            </w:r>
            <w:r>
              <w:rPr>
                <w:rFonts w:hint="eastAsia"/>
                <w:kern w:val="0"/>
                <w:sz w:val="22"/>
                <w:lang w:eastAsia="zh-CN"/>
              </w:rPr>
              <w:t>4</w:t>
            </w:r>
            <w:r>
              <w:rPr>
                <w:kern w:val="0"/>
                <w:sz w:val="22"/>
                <w:lang w:eastAsia="zh-CN"/>
              </w:rPr>
              <w:t>分，</w:t>
            </w:r>
            <w:r>
              <w:rPr>
                <w:rFonts w:hint="eastAsia"/>
                <w:kern w:val="0"/>
                <w:sz w:val="22"/>
                <w:lang w:eastAsia="zh-CN"/>
              </w:rPr>
              <w:t>最多2</w:t>
            </w:r>
            <w:r>
              <w:rPr>
                <w:kern w:val="0"/>
                <w:sz w:val="22"/>
                <w:lang w:eastAsia="zh-CN"/>
              </w:rPr>
              <w:t>0分。</w:t>
            </w:r>
          </w:p>
        </w:tc>
      </w:tr>
      <w:tr>
        <w:tblPrEx>
          <w:tblCellMar>
            <w:top w:w="35" w:type="dxa"/>
            <w:left w:w="107" w:type="dxa"/>
            <w:bottom w:w="0" w:type="dxa"/>
            <w:right w:w="0" w:type="dxa"/>
          </w:tblCellMar>
        </w:tblPrEx>
        <w:trPr>
          <w:trHeight w:val="4712" w:hRule="atLeast"/>
          <w:jc w:val="center"/>
        </w:trPr>
        <w:tc>
          <w:tcPr>
            <w:tcW w:w="740" w:type="dxa"/>
            <w:vMerge w:val="restart"/>
            <w:tcBorders>
              <w:top w:val="single" w:color="000000" w:sz="6" w:space="0"/>
              <w:left w:val="double" w:color="000000" w:sz="4" w:space="0"/>
              <w:bottom w:val="double" w:color="000000" w:sz="4" w:space="0"/>
              <w:right w:val="single" w:color="000000" w:sz="6" w:space="0"/>
            </w:tcBorders>
            <w:vAlign w:val="center"/>
          </w:tcPr>
          <w:p>
            <w:pPr>
              <w:spacing w:line="259" w:lineRule="auto"/>
              <w:jc w:val="center"/>
              <w:rPr>
                <w:kern w:val="0"/>
                <w:sz w:val="22"/>
                <w:lang w:eastAsia="en-US"/>
              </w:rPr>
            </w:pPr>
            <w:r>
              <w:rPr>
                <w:kern w:val="0"/>
                <w:sz w:val="22"/>
                <w:lang w:eastAsia="en-US"/>
              </w:rPr>
              <w:t>技术部分</w:t>
            </w:r>
          </w:p>
        </w:tc>
        <w:tc>
          <w:tcPr>
            <w:tcW w:w="715" w:type="dxa"/>
            <w:vMerge w:val="restart"/>
            <w:tcBorders>
              <w:top w:val="single" w:color="000000" w:sz="6" w:space="0"/>
              <w:left w:val="single" w:color="000000" w:sz="6" w:space="0"/>
              <w:bottom w:val="double" w:color="000000" w:sz="4" w:space="0"/>
              <w:right w:val="single" w:color="000000" w:sz="6" w:space="0"/>
            </w:tcBorders>
            <w:vAlign w:val="center"/>
          </w:tcPr>
          <w:p>
            <w:pPr>
              <w:spacing w:line="259" w:lineRule="auto"/>
              <w:ind w:left="1"/>
              <w:rPr>
                <w:kern w:val="0"/>
                <w:sz w:val="22"/>
                <w:lang w:eastAsia="zh-CN"/>
              </w:rPr>
            </w:pPr>
            <w:r>
              <w:rPr>
                <w:rFonts w:hint="eastAsia"/>
                <w:kern w:val="0"/>
                <w:sz w:val="22"/>
                <w:lang w:eastAsia="zh-CN"/>
              </w:rPr>
              <w:t>5</w:t>
            </w:r>
            <w:r>
              <w:rPr>
                <w:kern w:val="0"/>
                <w:sz w:val="22"/>
                <w:lang w:eastAsia="zh-CN"/>
              </w:rPr>
              <w:t>5</w:t>
            </w:r>
          </w:p>
        </w:tc>
        <w:tc>
          <w:tcPr>
            <w:tcW w:w="2699" w:type="dxa"/>
            <w:tcBorders>
              <w:top w:val="single" w:color="000000" w:sz="6" w:space="0"/>
              <w:left w:val="single" w:color="000000" w:sz="6" w:space="0"/>
              <w:bottom w:val="single" w:color="000000" w:sz="6" w:space="0"/>
              <w:right w:val="single" w:color="000000" w:sz="6" w:space="0"/>
            </w:tcBorders>
            <w:vAlign w:val="center"/>
          </w:tcPr>
          <w:p>
            <w:pPr>
              <w:spacing w:line="259" w:lineRule="auto"/>
              <w:rPr>
                <w:kern w:val="0"/>
                <w:sz w:val="22"/>
                <w:lang w:eastAsia="zh-CN"/>
              </w:rPr>
            </w:pPr>
            <w:r>
              <w:rPr>
                <w:kern w:val="0"/>
                <w:sz w:val="22"/>
                <w:lang w:eastAsia="zh-CN"/>
              </w:rPr>
              <w:t>对投标人整体服务方案的评价（25分）</w:t>
            </w:r>
          </w:p>
        </w:tc>
        <w:tc>
          <w:tcPr>
            <w:tcW w:w="4762" w:type="dxa"/>
            <w:tcBorders>
              <w:top w:val="single" w:color="000000" w:sz="6" w:space="0"/>
              <w:left w:val="single" w:color="000000" w:sz="6" w:space="0"/>
              <w:bottom w:val="single" w:color="000000" w:sz="6" w:space="0"/>
              <w:right w:val="double" w:color="000000" w:sz="4" w:space="0"/>
            </w:tcBorders>
          </w:tcPr>
          <w:p>
            <w:pPr>
              <w:spacing w:line="275" w:lineRule="auto"/>
              <w:ind w:left="1"/>
              <w:rPr>
                <w:kern w:val="0"/>
                <w:sz w:val="22"/>
                <w:lang w:eastAsia="zh-CN"/>
              </w:rPr>
            </w:pPr>
            <w:r>
              <w:rPr>
                <w:kern w:val="0"/>
                <w:sz w:val="22"/>
                <w:lang w:eastAsia="zh-CN"/>
              </w:rPr>
              <w:t>根据招标要求和投标技术响应情况，对投标人提供的服务方案进行评价：</w:t>
            </w:r>
          </w:p>
          <w:p>
            <w:pPr>
              <w:widowControl/>
              <w:numPr>
                <w:ilvl w:val="0"/>
                <w:numId w:val="1"/>
              </w:numPr>
              <w:spacing w:after="1" w:line="275" w:lineRule="auto"/>
              <w:jc w:val="left"/>
              <w:rPr>
                <w:kern w:val="0"/>
                <w:sz w:val="22"/>
                <w:lang w:eastAsia="zh-CN"/>
              </w:rPr>
            </w:pPr>
            <w:r>
              <w:rPr>
                <w:kern w:val="0"/>
                <w:sz w:val="22"/>
                <w:lang w:eastAsia="zh-CN"/>
              </w:rPr>
              <w:t>方案能清晰理解采购人业务需求，并能全面覆盖项目设计所有业务功能需求，有切实可行的协调、解决和完成项目的工作方法和措施的，得25 分。</w:t>
            </w:r>
          </w:p>
          <w:p>
            <w:pPr>
              <w:widowControl/>
              <w:numPr>
                <w:ilvl w:val="0"/>
                <w:numId w:val="1"/>
              </w:numPr>
              <w:spacing w:after="1" w:line="275" w:lineRule="auto"/>
              <w:jc w:val="left"/>
              <w:rPr>
                <w:kern w:val="0"/>
                <w:sz w:val="22"/>
                <w:lang w:eastAsia="zh-CN"/>
              </w:rPr>
            </w:pPr>
            <w:r>
              <w:rPr>
                <w:kern w:val="0"/>
                <w:sz w:val="22"/>
                <w:lang w:eastAsia="zh-CN"/>
              </w:rPr>
              <w:t>方案能基本理解采购人业务需求，并能基本覆盖项目设计所有业务功能需求，基本体现项目测试过程，得18分。</w:t>
            </w:r>
          </w:p>
          <w:p>
            <w:pPr>
              <w:widowControl/>
              <w:numPr>
                <w:ilvl w:val="0"/>
                <w:numId w:val="1"/>
              </w:numPr>
              <w:spacing w:after="1" w:line="275" w:lineRule="auto"/>
              <w:jc w:val="left"/>
              <w:rPr>
                <w:kern w:val="0"/>
                <w:sz w:val="22"/>
                <w:lang w:eastAsia="zh-CN"/>
              </w:rPr>
            </w:pPr>
            <w:r>
              <w:rPr>
                <w:kern w:val="0"/>
                <w:sz w:val="22"/>
                <w:lang w:eastAsia="zh-CN"/>
              </w:rPr>
              <w:t>方案部分理解采购人业务需求，少部分覆盖项目设计的业务功能需求，得11分。</w:t>
            </w:r>
          </w:p>
          <w:p>
            <w:pPr>
              <w:widowControl/>
              <w:numPr>
                <w:ilvl w:val="0"/>
                <w:numId w:val="1"/>
              </w:numPr>
              <w:spacing w:after="1" w:line="275" w:lineRule="auto"/>
              <w:jc w:val="left"/>
              <w:rPr>
                <w:kern w:val="0"/>
                <w:sz w:val="22"/>
                <w:lang w:eastAsia="zh-CN"/>
              </w:rPr>
            </w:pPr>
            <w:r>
              <w:rPr>
                <w:kern w:val="0"/>
                <w:sz w:val="22"/>
                <w:lang w:eastAsia="zh-CN"/>
              </w:rPr>
              <w:t>方案未能清晰理解用户需求，针对本项目没有详细的团队工作方案和计划，以及有效的服务承诺，得4分。</w:t>
            </w:r>
          </w:p>
          <w:p>
            <w:pPr>
              <w:widowControl/>
              <w:numPr>
                <w:ilvl w:val="0"/>
                <w:numId w:val="1"/>
              </w:numPr>
              <w:spacing w:line="259" w:lineRule="auto"/>
              <w:jc w:val="left"/>
              <w:rPr>
                <w:kern w:val="0"/>
                <w:sz w:val="22"/>
                <w:lang w:eastAsia="zh-CN"/>
              </w:rPr>
            </w:pPr>
            <w:r>
              <w:rPr>
                <w:kern w:val="0"/>
                <w:sz w:val="22"/>
                <w:lang w:eastAsia="zh-CN"/>
              </w:rPr>
              <w:t>未提供服务方案的得0分。</w:t>
            </w:r>
          </w:p>
        </w:tc>
      </w:tr>
      <w:tr>
        <w:tblPrEx>
          <w:tblCellMar>
            <w:top w:w="35" w:type="dxa"/>
            <w:left w:w="107" w:type="dxa"/>
            <w:bottom w:w="0" w:type="dxa"/>
            <w:right w:w="0" w:type="dxa"/>
          </w:tblCellMar>
        </w:tblPrEx>
        <w:trPr>
          <w:trHeight w:val="1916" w:hRule="atLeast"/>
          <w:jc w:val="center"/>
        </w:trPr>
        <w:tc>
          <w:tcPr>
            <w:tcW w:w="0" w:type="auto"/>
            <w:vMerge w:val="continue"/>
            <w:tcBorders>
              <w:top w:val="nil"/>
              <w:left w:val="double" w:color="000000" w:sz="4" w:space="0"/>
              <w:bottom w:val="double" w:color="000000" w:sz="4" w:space="0"/>
              <w:right w:val="single" w:color="000000" w:sz="6" w:space="0"/>
            </w:tcBorders>
          </w:tcPr>
          <w:p>
            <w:pPr>
              <w:spacing w:after="160" w:line="259" w:lineRule="auto"/>
              <w:rPr>
                <w:kern w:val="0"/>
                <w:sz w:val="22"/>
                <w:lang w:eastAsia="zh-CN"/>
              </w:rPr>
            </w:pPr>
          </w:p>
        </w:tc>
        <w:tc>
          <w:tcPr>
            <w:tcW w:w="0" w:type="auto"/>
            <w:vMerge w:val="continue"/>
            <w:tcBorders>
              <w:top w:val="nil"/>
              <w:left w:val="single" w:color="000000" w:sz="6" w:space="0"/>
              <w:bottom w:val="double" w:color="000000" w:sz="4" w:space="0"/>
              <w:right w:val="single" w:color="000000" w:sz="6" w:space="0"/>
            </w:tcBorders>
          </w:tcPr>
          <w:p>
            <w:pPr>
              <w:spacing w:after="160" w:line="259" w:lineRule="auto"/>
              <w:rPr>
                <w:kern w:val="0"/>
                <w:sz w:val="22"/>
                <w:lang w:eastAsia="zh-CN"/>
              </w:rPr>
            </w:pPr>
          </w:p>
        </w:tc>
        <w:tc>
          <w:tcPr>
            <w:tcW w:w="2699" w:type="dxa"/>
            <w:tcBorders>
              <w:top w:val="single" w:color="000000" w:sz="6" w:space="0"/>
              <w:left w:val="single" w:color="000000" w:sz="6" w:space="0"/>
              <w:bottom w:val="single" w:color="000000" w:sz="6" w:space="0"/>
              <w:right w:val="single" w:color="000000" w:sz="6" w:space="0"/>
            </w:tcBorders>
            <w:vAlign w:val="center"/>
          </w:tcPr>
          <w:p>
            <w:pPr>
              <w:spacing w:line="259" w:lineRule="auto"/>
              <w:rPr>
                <w:kern w:val="0"/>
                <w:sz w:val="22"/>
                <w:lang w:eastAsia="zh-CN"/>
              </w:rPr>
            </w:pPr>
            <w:r>
              <w:rPr>
                <w:kern w:val="0"/>
                <w:sz w:val="22"/>
                <w:lang w:eastAsia="zh-CN"/>
              </w:rPr>
              <w:t>对投标人拟投入项目团队的评价（15分）</w:t>
            </w:r>
          </w:p>
        </w:tc>
        <w:tc>
          <w:tcPr>
            <w:tcW w:w="4762" w:type="dxa"/>
            <w:tcBorders>
              <w:top w:val="single" w:color="000000" w:sz="6" w:space="0"/>
              <w:left w:val="single" w:color="000000" w:sz="6" w:space="0"/>
              <w:bottom w:val="single" w:color="000000" w:sz="6" w:space="0"/>
              <w:right w:val="double" w:color="000000" w:sz="4" w:space="0"/>
            </w:tcBorders>
          </w:tcPr>
          <w:p>
            <w:pPr>
              <w:spacing w:line="259" w:lineRule="auto"/>
              <w:ind w:left="1"/>
              <w:rPr>
                <w:kern w:val="0"/>
                <w:sz w:val="22"/>
                <w:lang w:eastAsia="zh-CN"/>
              </w:rPr>
            </w:pPr>
            <w:r>
              <w:rPr>
                <w:kern w:val="0"/>
                <w:sz w:val="22"/>
                <w:lang w:eastAsia="zh-CN"/>
              </w:rPr>
              <w:t>根据投标人项目人员安排合理性及满足项目实施需要情况进行评价：科学合理、满足岗位要求并提供优质服务，项目人员具备承担过5个</w:t>
            </w:r>
            <w:r>
              <w:rPr>
                <w:rFonts w:hint="eastAsia"/>
                <w:kern w:val="0"/>
                <w:sz w:val="22"/>
                <w:lang w:eastAsia="zh-CN"/>
              </w:rPr>
              <w:t>以上</w:t>
            </w:r>
            <w:r>
              <w:rPr>
                <w:kern w:val="0"/>
                <w:sz w:val="22"/>
                <w:lang w:eastAsia="zh-CN"/>
              </w:rPr>
              <w:t xml:space="preserve">类似项目经验得 </w:t>
            </w:r>
            <w:r>
              <w:rPr>
                <w:rFonts w:ascii="Calibri" w:hAnsi="Calibri" w:eastAsia="Calibri" w:cs="Calibri"/>
                <w:kern w:val="0"/>
                <w:sz w:val="22"/>
                <w:lang w:eastAsia="zh-CN"/>
              </w:rPr>
              <w:t xml:space="preserve">15 </w:t>
            </w:r>
            <w:r>
              <w:rPr>
                <w:kern w:val="0"/>
                <w:sz w:val="22"/>
                <w:lang w:eastAsia="zh-CN"/>
              </w:rPr>
              <w:t>分；科学合理、基本满足岗位要求并提供优质服务，项目人员具备承担过3-5</w:t>
            </w:r>
            <w:r>
              <w:rPr>
                <w:rFonts w:hint="eastAsia"/>
                <w:kern w:val="0"/>
                <w:sz w:val="22"/>
                <w:lang w:eastAsia="zh-CN"/>
              </w:rPr>
              <w:t>个</w:t>
            </w:r>
            <w:r>
              <w:rPr>
                <w:kern w:val="0"/>
                <w:sz w:val="22"/>
                <w:lang w:eastAsia="zh-CN"/>
              </w:rPr>
              <w:t xml:space="preserve">类似项目经验得 </w:t>
            </w:r>
            <w:r>
              <w:rPr>
                <w:rFonts w:ascii="Calibri" w:hAnsi="Calibri" w:eastAsia="Calibri" w:cs="Calibri"/>
                <w:kern w:val="0"/>
                <w:sz w:val="22"/>
                <w:lang w:eastAsia="zh-CN"/>
              </w:rPr>
              <w:t xml:space="preserve">10 </w:t>
            </w:r>
            <w:r>
              <w:rPr>
                <w:kern w:val="0"/>
                <w:sz w:val="22"/>
                <w:lang w:eastAsia="zh-CN"/>
              </w:rPr>
              <w:t>分；部分满足岗位要求，项目人员具备承担过3</w:t>
            </w:r>
            <w:r>
              <w:rPr>
                <w:rFonts w:hint="eastAsia"/>
                <w:kern w:val="0"/>
                <w:sz w:val="22"/>
                <w:lang w:eastAsia="zh-CN"/>
              </w:rPr>
              <w:t>个以下</w:t>
            </w:r>
            <w:r>
              <w:rPr>
                <w:kern w:val="0"/>
                <w:sz w:val="22"/>
                <w:lang w:eastAsia="zh-CN"/>
              </w:rPr>
              <w:t xml:space="preserve">类似项目经验得 </w:t>
            </w:r>
            <w:r>
              <w:rPr>
                <w:rFonts w:ascii="Calibri" w:hAnsi="Calibri" w:eastAsia="Calibri" w:cs="Calibri"/>
                <w:kern w:val="0"/>
                <w:sz w:val="22"/>
                <w:lang w:eastAsia="zh-CN"/>
              </w:rPr>
              <w:t xml:space="preserve">5 </w:t>
            </w:r>
            <w:r>
              <w:rPr>
                <w:kern w:val="0"/>
                <w:sz w:val="22"/>
                <w:lang w:eastAsia="zh-CN"/>
              </w:rPr>
              <w:t>分；未提供得0 分。</w:t>
            </w:r>
          </w:p>
        </w:tc>
      </w:tr>
      <w:tr>
        <w:tblPrEx>
          <w:tblCellMar>
            <w:top w:w="35" w:type="dxa"/>
            <w:left w:w="107" w:type="dxa"/>
            <w:bottom w:w="0" w:type="dxa"/>
            <w:right w:w="0" w:type="dxa"/>
          </w:tblCellMar>
        </w:tblPrEx>
        <w:trPr>
          <w:trHeight w:val="1664" w:hRule="atLeast"/>
          <w:jc w:val="center"/>
        </w:trPr>
        <w:tc>
          <w:tcPr>
            <w:tcW w:w="0" w:type="auto"/>
            <w:vMerge w:val="continue"/>
            <w:tcBorders>
              <w:top w:val="nil"/>
              <w:left w:val="double" w:color="000000" w:sz="4" w:space="0"/>
              <w:bottom w:val="nil"/>
              <w:right w:val="single" w:color="000000" w:sz="6" w:space="0"/>
            </w:tcBorders>
          </w:tcPr>
          <w:p>
            <w:pPr>
              <w:spacing w:after="160" w:line="259" w:lineRule="auto"/>
              <w:rPr>
                <w:kern w:val="0"/>
                <w:sz w:val="22"/>
                <w:lang w:eastAsia="zh-CN"/>
              </w:rPr>
            </w:pPr>
          </w:p>
        </w:tc>
        <w:tc>
          <w:tcPr>
            <w:tcW w:w="0" w:type="auto"/>
            <w:vMerge w:val="continue"/>
            <w:tcBorders>
              <w:top w:val="nil"/>
              <w:left w:val="single" w:color="000000" w:sz="6" w:space="0"/>
              <w:bottom w:val="nil"/>
              <w:right w:val="single" w:color="000000" w:sz="6" w:space="0"/>
            </w:tcBorders>
          </w:tcPr>
          <w:p>
            <w:pPr>
              <w:spacing w:after="160" w:line="259" w:lineRule="auto"/>
              <w:rPr>
                <w:kern w:val="0"/>
                <w:sz w:val="22"/>
                <w:lang w:eastAsia="zh-CN"/>
              </w:rPr>
            </w:pPr>
          </w:p>
        </w:tc>
        <w:tc>
          <w:tcPr>
            <w:tcW w:w="2699" w:type="dxa"/>
            <w:tcBorders>
              <w:top w:val="single" w:color="000000" w:sz="6" w:space="0"/>
              <w:left w:val="single" w:color="000000" w:sz="6" w:space="0"/>
              <w:bottom w:val="single" w:color="000000" w:sz="6" w:space="0"/>
              <w:right w:val="single" w:color="000000" w:sz="6" w:space="0"/>
            </w:tcBorders>
            <w:vAlign w:val="center"/>
          </w:tcPr>
          <w:p>
            <w:pPr>
              <w:spacing w:line="259" w:lineRule="auto"/>
              <w:rPr>
                <w:kern w:val="0"/>
                <w:sz w:val="22"/>
                <w:lang w:eastAsia="zh-CN"/>
              </w:rPr>
            </w:pPr>
            <w:r>
              <w:rPr>
                <w:kern w:val="0"/>
                <w:sz w:val="22"/>
                <w:lang w:eastAsia="zh-CN"/>
              </w:rPr>
              <w:t>对投标人服务方案和保障措施的评价（10分）</w:t>
            </w:r>
          </w:p>
        </w:tc>
        <w:tc>
          <w:tcPr>
            <w:tcW w:w="4762" w:type="dxa"/>
            <w:tcBorders>
              <w:top w:val="single" w:color="000000" w:sz="6" w:space="0"/>
              <w:left w:val="single" w:color="000000" w:sz="6" w:space="0"/>
              <w:bottom w:val="single" w:color="000000" w:sz="6" w:space="0"/>
              <w:right w:val="double" w:color="000000" w:sz="4" w:space="0"/>
            </w:tcBorders>
          </w:tcPr>
          <w:p>
            <w:pPr>
              <w:spacing w:line="259" w:lineRule="auto"/>
              <w:ind w:left="1"/>
              <w:rPr>
                <w:kern w:val="0"/>
                <w:sz w:val="22"/>
                <w:lang w:eastAsia="zh-CN"/>
              </w:rPr>
            </w:pPr>
            <w:r>
              <w:rPr>
                <w:kern w:val="0"/>
                <w:sz w:val="22"/>
                <w:lang w:eastAsia="zh-CN"/>
              </w:rPr>
              <w:t>投标人提供的服务方案和实施计划严密、针对性强、切实可行得10分；投标人提供的服务承诺和实施计划合理、基本可行得</w:t>
            </w:r>
            <w:r>
              <w:rPr>
                <w:rFonts w:hint="eastAsia"/>
                <w:kern w:val="0"/>
                <w:sz w:val="22"/>
                <w:lang w:eastAsia="zh-CN"/>
              </w:rPr>
              <w:t>8</w:t>
            </w:r>
            <w:r>
              <w:rPr>
                <w:kern w:val="0"/>
                <w:sz w:val="22"/>
                <w:lang w:eastAsia="zh-CN"/>
              </w:rPr>
              <w:t>分；投标人提供的服务承诺和实施计划基本合理、部分可行得5分；投标人提供的服务承诺和实施计划不合理、不可行得0分。</w:t>
            </w:r>
          </w:p>
        </w:tc>
      </w:tr>
      <w:tr>
        <w:tblPrEx>
          <w:tblCellMar>
            <w:top w:w="35" w:type="dxa"/>
            <w:left w:w="107" w:type="dxa"/>
            <w:bottom w:w="0" w:type="dxa"/>
            <w:right w:w="0" w:type="dxa"/>
          </w:tblCellMar>
        </w:tblPrEx>
        <w:trPr>
          <w:trHeight w:val="1399" w:hRule="atLeast"/>
          <w:jc w:val="center"/>
        </w:trPr>
        <w:tc>
          <w:tcPr>
            <w:tcW w:w="0" w:type="auto"/>
            <w:vMerge w:val="continue"/>
            <w:tcBorders>
              <w:top w:val="nil"/>
              <w:left w:val="double" w:color="000000" w:sz="4" w:space="0"/>
              <w:bottom w:val="double" w:color="000000" w:sz="4" w:space="0"/>
              <w:right w:val="single" w:color="000000" w:sz="6" w:space="0"/>
            </w:tcBorders>
          </w:tcPr>
          <w:p>
            <w:pPr>
              <w:spacing w:after="160" w:line="259" w:lineRule="auto"/>
              <w:rPr>
                <w:kern w:val="0"/>
                <w:sz w:val="22"/>
                <w:lang w:eastAsia="zh-CN"/>
              </w:rPr>
            </w:pPr>
          </w:p>
        </w:tc>
        <w:tc>
          <w:tcPr>
            <w:tcW w:w="0" w:type="auto"/>
            <w:vMerge w:val="continue"/>
            <w:tcBorders>
              <w:top w:val="nil"/>
              <w:left w:val="single" w:color="000000" w:sz="6" w:space="0"/>
              <w:bottom w:val="double" w:color="000000" w:sz="4" w:space="0"/>
              <w:right w:val="single" w:color="000000" w:sz="6" w:space="0"/>
            </w:tcBorders>
          </w:tcPr>
          <w:p>
            <w:pPr>
              <w:spacing w:after="160" w:line="259" w:lineRule="auto"/>
              <w:rPr>
                <w:kern w:val="0"/>
                <w:sz w:val="22"/>
                <w:lang w:eastAsia="zh-CN"/>
              </w:rPr>
            </w:pPr>
          </w:p>
        </w:tc>
        <w:tc>
          <w:tcPr>
            <w:tcW w:w="2699" w:type="dxa"/>
            <w:tcBorders>
              <w:top w:val="single" w:color="000000" w:sz="6" w:space="0"/>
              <w:left w:val="single" w:color="000000" w:sz="6" w:space="0"/>
              <w:bottom w:val="double" w:color="000000" w:sz="4" w:space="0"/>
              <w:right w:val="single" w:color="000000" w:sz="6" w:space="0"/>
            </w:tcBorders>
            <w:vAlign w:val="center"/>
          </w:tcPr>
          <w:p>
            <w:pPr>
              <w:spacing w:line="259" w:lineRule="auto"/>
              <w:rPr>
                <w:kern w:val="0"/>
                <w:sz w:val="22"/>
                <w:lang w:eastAsia="zh-CN"/>
              </w:rPr>
            </w:pPr>
            <w:r>
              <w:rPr>
                <w:kern w:val="0"/>
                <w:sz w:val="22"/>
                <w:lang w:eastAsia="zh-CN"/>
              </w:rPr>
              <w:t>对投标人拟采取的应急预案(系统故障、人员更替)的评价（</w:t>
            </w:r>
            <w:r>
              <w:rPr>
                <w:rFonts w:hint="eastAsia"/>
                <w:kern w:val="0"/>
                <w:sz w:val="22"/>
                <w:lang w:eastAsia="zh-CN"/>
              </w:rPr>
              <w:t>5</w:t>
            </w:r>
            <w:r>
              <w:rPr>
                <w:kern w:val="0"/>
                <w:sz w:val="22"/>
                <w:lang w:eastAsia="zh-CN"/>
              </w:rPr>
              <w:t>分）</w:t>
            </w:r>
          </w:p>
        </w:tc>
        <w:tc>
          <w:tcPr>
            <w:tcW w:w="4762" w:type="dxa"/>
            <w:tcBorders>
              <w:top w:val="single" w:color="000000" w:sz="6" w:space="0"/>
              <w:left w:val="single" w:color="000000" w:sz="6" w:space="0"/>
              <w:bottom w:val="double" w:color="000000" w:sz="4" w:space="0"/>
              <w:right w:val="double" w:color="000000" w:sz="4" w:space="0"/>
            </w:tcBorders>
          </w:tcPr>
          <w:p>
            <w:pPr>
              <w:spacing w:line="259" w:lineRule="auto"/>
              <w:ind w:left="1"/>
              <w:rPr>
                <w:kern w:val="0"/>
                <w:sz w:val="22"/>
                <w:lang w:eastAsia="zh-CN"/>
              </w:rPr>
            </w:pPr>
            <w:r>
              <w:rPr>
                <w:kern w:val="0"/>
                <w:sz w:val="22"/>
                <w:lang w:eastAsia="zh-CN"/>
              </w:rPr>
              <w:t>项目具有应急预案，且细致合理、针对性强，出现问题，能及时实施应对措施得</w:t>
            </w:r>
            <w:r>
              <w:rPr>
                <w:rFonts w:hint="eastAsia"/>
                <w:kern w:val="0"/>
                <w:sz w:val="22"/>
                <w:lang w:eastAsia="zh-CN"/>
              </w:rPr>
              <w:t>5</w:t>
            </w:r>
            <w:r>
              <w:rPr>
                <w:kern w:val="0"/>
                <w:sz w:val="22"/>
                <w:lang w:eastAsia="zh-CN"/>
              </w:rPr>
              <w:t>分；项目具有应急预案，针对性一般得</w:t>
            </w:r>
            <w:r>
              <w:rPr>
                <w:rFonts w:hint="eastAsia"/>
                <w:kern w:val="0"/>
                <w:sz w:val="22"/>
                <w:lang w:eastAsia="zh-CN"/>
              </w:rPr>
              <w:t>3</w:t>
            </w:r>
            <w:r>
              <w:rPr>
                <w:kern w:val="0"/>
                <w:sz w:val="22"/>
                <w:lang w:eastAsia="zh-CN"/>
              </w:rPr>
              <w:t>分；项目具有应急预案，相对简单、针对性弱得</w:t>
            </w:r>
            <w:r>
              <w:rPr>
                <w:rFonts w:hint="eastAsia"/>
                <w:kern w:val="0"/>
                <w:sz w:val="22"/>
                <w:lang w:eastAsia="zh-CN"/>
              </w:rPr>
              <w:t>2</w:t>
            </w:r>
            <w:r>
              <w:rPr>
                <w:kern w:val="0"/>
                <w:sz w:val="22"/>
                <w:lang w:eastAsia="zh-CN"/>
              </w:rPr>
              <w:t>分；项目具有应急预案，但简单且不具有针对性得1分；未提供得0分。</w:t>
            </w:r>
          </w:p>
        </w:tc>
      </w:tr>
    </w:tbl>
    <w:p>
      <w:pPr>
        <w:widowControl/>
        <w:spacing w:line="288" w:lineRule="auto"/>
        <w:jc w:val="left"/>
        <w:rPr>
          <w:rFonts w:ascii="宋体" w:hAnsi="宋体"/>
          <w:szCs w:val="21"/>
        </w:rPr>
      </w:pPr>
    </w:p>
    <w:p>
      <w:pPr>
        <w:widowControl/>
        <w:spacing w:line="288" w:lineRule="auto"/>
        <w:jc w:val="left"/>
        <w:rPr>
          <w:rFonts w:ascii="宋体" w:hAnsi="宋体"/>
          <w:szCs w:val="21"/>
        </w:rPr>
      </w:pPr>
    </w:p>
    <w:p>
      <w:pPr>
        <w:widowControl/>
        <w:spacing w:line="288" w:lineRule="auto"/>
        <w:jc w:val="left"/>
        <w:rPr>
          <w:rFonts w:ascii="宋体" w:hAnsi="宋体"/>
          <w:szCs w:val="21"/>
        </w:rPr>
      </w:pPr>
      <w:r>
        <w:rPr>
          <w:rFonts w:hint="eastAsia" w:ascii="宋体" w:hAnsi="宋体"/>
          <w:szCs w:val="21"/>
        </w:rPr>
        <w:t>五、合同（合同以实际为准）及廉洁模板</w:t>
      </w:r>
    </w:p>
    <w:p>
      <w:pPr>
        <w:widowControl/>
        <w:spacing w:line="288" w:lineRule="auto"/>
        <w:jc w:val="left"/>
        <w:rPr>
          <w:rFonts w:ascii="宋体" w:hAnsi="宋体"/>
          <w:szCs w:val="21"/>
        </w:rPr>
      </w:pPr>
    </w:p>
    <w:p>
      <w:pPr>
        <w:rPr>
          <w:rFonts w:ascii="楷体" w:hAnsi="楷体" w:eastAsia="楷体" w:cs="Calibri"/>
          <w:szCs w:val="21"/>
        </w:rPr>
      </w:pPr>
    </w:p>
    <w:p>
      <w:pPr>
        <w:spacing w:line="360" w:lineRule="auto"/>
        <w:jc w:val="center"/>
        <w:rPr>
          <w:rFonts w:ascii="楷体" w:hAnsi="楷体" w:eastAsia="楷体" w:cs="Calibri"/>
          <w:b/>
          <w:sz w:val="36"/>
          <w:szCs w:val="21"/>
        </w:rPr>
      </w:pPr>
    </w:p>
    <w:p>
      <w:pPr>
        <w:spacing w:line="360" w:lineRule="auto"/>
        <w:jc w:val="center"/>
        <w:rPr>
          <w:rFonts w:ascii="楷体" w:hAnsi="楷体" w:eastAsia="楷体" w:cs="Calibri"/>
          <w:b/>
          <w:sz w:val="36"/>
          <w:szCs w:val="21"/>
        </w:rPr>
      </w:pPr>
      <w:r>
        <w:rPr>
          <w:rFonts w:hint="eastAsia" w:ascii="楷体" w:hAnsi="楷体" w:eastAsia="楷体" w:cs="Calibri"/>
          <w:b/>
          <w:sz w:val="36"/>
          <w:szCs w:val="21"/>
        </w:rPr>
        <w:t>北京大学人民医院</w:t>
      </w:r>
    </w:p>
    <w:p>
      <w:pPr>
        <w:jc w:val="center"/>
        <w:rPr>
          <w:rFonts w:ascii="楷体" w:hAnsi="楷体" w:eastAsia="楷体" w:cs="Calibri"/>
          <w:b/>
          <w:sz w:val="36"/>
          <w:szCs w:val="36"/>
        </w:rPr>
      </w:pPr>
      <w:r>
        <w:rPr>
          <w:rFonts w:hint="eastAsia" w:ascii="楷体" w:hAnsi="楷体" w:eastAsia="楷体" w:cs="Calibri"/>
          <w:b/>
          <w:sz w:val="36"/>
          <w:szCs w:val="36"/>
        </w:rPr>
        <w:t>×××合同</w:t>
      </w:r>
    </w:p>
    <w:p>
      <w:pPr>
        <w:rPr>
          <w:rFonts w:ascii="楷体" w:hAnsi="楷体" w:eastAsia="楷体" w:cs="Calibri"/>
          <w:szCs w:val="21"/>
        </w:rPr>
      </w:pPr>
    </w:p>
    <w:p>
      <w:pPr>
        <w:rPr>
          <w:rFonts w:ascii="楷体" w:hAnsi="楷体" w:eastAsia="楷体" w:cs="Calibri"/>
          <w:szCs w:val="21"/>
        </w:rPr>
      </w:pPr>
    </w:p>
    <w:p>
      <w:pPr>
        <w:rPr>
          <w:rFonts w:ascii="楷体" w:hAnsi="楷体" w:eastAsia="楷体" w:cs="Calibri"/>
          <w:sz w:val="28"/>
          <w:szCs w:val="21"/>
        </w:rPr>
      </w:pPr>
    </w:p>
    <w:p>
      <w:pPr>
        <w:rPr>
          <w:rFonts w:ascii="楷体" w:hAnsi="楷体" w:eastAsia="楷体" w:cs="Calibri"/>
          <w:sz w:val="28"/>
          <w:szCs w:val="21"/>
        </w:rPr>
      </w:pPr>
      <w:r>
        <w:rPr>
          <w:rFonts w:hint="eastAsia" w:ascii="楷体" w:hAnsi="楷体" w:eastAsia="楷体" w:cs="Calibri"/>
          <w:sz w:val="28"/>
          <w:szCs w:val="21"/>
        </w:rPr>
        <w:t xml:space="preserve">甲      方： 北京大学人民医院         合同编号：                        </w:t>
      </w:r>
    </w:p>
    <w:p>
      <w:pPr>
        <w:rPr>
          <w:rFonts w:ascii="楷体" w:hAnsi="楷体" w:eastAsia="楷体" w:cs="Calibri"/>
          <w:sz w:val="28"/>
          <w:szCs w:val="21"/>
        </w:rPr>
      </w:pPr>
      <w:r>
        <w:rPr>
          <w:rFonts w:hint="eastAsia" w:ascii="楷体" w:hAnsi="楷体" w:eastAsia="楷体" w:cs="Calibri"/>
          <w:sz w:val="28"/>
          <w:szCs w:val="21"/>
        </w:rPr>
        <w:t>地      址： 北京市西城区西直门南大街11号</w:t>
      </w:r>
    </w:p>
    <w:p>
      <w:pPr>
        <w:rPr>
          <w:rFonts w:ascii="楷体" w:hAnsi="楷体" w:eastAsia="楷体" w:cs="Calibri"/>
          <w:sz w:val="28"/>
          <w:szCs w:val="21"/>
        </w:rPr>
      </w:pPr>
      <w:r>
        <w:rPr>
          <w:rFonts w:hint="eastAsia" w:ascii="楷体" w:hAnsi="楷体" w:eastAsia="楷体" w:cs="Calibri"/>
          <w:sz w:val="28"/>
          <w:szCs w:val="21"/>
        </w:rPr>
        <w:t xml:space="preserve">法定代表人： 王 俊                    邮  编：100044            </w:t>
      </w:r>
    </w:p>
    <w:p>
      <w:pPr>
        <w:rPr>
          <w:rFonts w:ascii="楷体" w:hAnsi="楷体" w:eastAsia="楷体" w:cs="Calibri"/>
          <w:sz w:val="28"/>
          <w:szCs w:val="21"/>
        </w:rPr>
      </w:pPr>
      <w:r>
        <w:rPr>
          <w:rFonts w:hint="eastAsia" w:ascii="楷体" w:hAnsi="楷体" w:eastAsia="楷体" w:cs="Calibri"/>
          <w:sz w:val="28"/>
          <w:szCs w:val="21"/>
        </w:rPr>
        <w:t>电      话：  010-88326666            传  真： 010-68333362</w:t>
      </w:r>
    </w:p>
    <w:p>
      <w:pPr>
        <w:rPr>
          <w:rFonts w:ascii="楷体" w:hAnsi="楷体" w:eastAsia="楷体" w:cs="Calibri"/>
          <w:sz w:val="28"/>
          <w:szCs w:val="21"/>
        </w:rPr>
      </w:pPr>
      <w:r>
        <w:rPr>
          <w:rFonts w:hint="eastAsia" w:ascii="楷体" w:hAnsi="楷体" w:eastAsia="楷体" w:cs="Calibri"/>
          <w:sz w:val="28"/>
          <w:szCs w:val="21"/>
        </w:rPr>
        <w:t xml:space="preserve">   </w:t>
      </w:r>
    </w:p>
    <w:p>
      <w:pPr>
        <w:rPr>
          <w:rFonts w:ascii="楷体" w:hAnsi="楷体" w:eastAsia="楷体" w:cs="Calibri"/>
          <w:sz w:val="28"/>
          <w:szCs w:val="21"/>
        </w:rPr>
      </w:pPr>
    </w:p>
    <w:p>
      <w:pPr>
        <w:rPr>
          <w:rFonts w:ascii="楷体" w:hAnsi="楷体" w:eastAsia="楷体" w:cs="Calibri"/>
          <w:sz w:val="28"/>
          <w:szCs w:val="21"/>
        </w:rPr>
      </w:pPr>
    </w:p>
    <w:p>
      <w:pPr>
        <w:rPr>
          <w:rFonts w:ascii="楷体" w:hAnsi="楷体" w:eastAsia="楷体" w:cs="Calibri"/>
          <w:sz w:val="28"/>
          <w:szCs w:val="21"/>
        </w:rPr>
      </w:pPr>
      <w:r>
        <w:rPr>
          <w:rFonts w:hint="eastAsia" w:ascii="楷体" w:hAnsi="楷体" w:eastAsia="楷体" w:cs="Calibri"/>
          <w:sz w:val="28"/>
          <w:szCs w:val="21"/>
        </w:rPr>
        <w:t>乙      方： ×××××</w:t>
      </w:r>
    </w:p>
    <w:p>
      <w:pPr>
        <w:rPr>
          <w:rFonts w:ascii="楷体" w:hAnsi="楷体" w:eastAsia="楷体" w:cs="Calibri"/>
          <w:sz w:val="28"/>
          <w:szCs w:val="21"/>
        </w:rPr>
      </w:pPr>
      <w:r>
        <w:rPr>
          <w:rFonts w:hint="eastAsia" w:ascii="楷体" w:hAnsi="楷体" w:eastAsia="楷体" w:cs="Calibri"/>
          <w:sz w:val="28"/>
          <w:szCs w:val="21"/>
        </w:rPr>
        <w:t xml:space="preserve">地      址：                      </w:t>
      </w:r>
    </w:p>
    <w:p>
      <w:pPr>
        <w:rPr>
          <w:rFonts w:ascii="楷体" w:hAnsi="楷体" w:eastAsia="楷体" w:cs="Calibri"/>
          <w:sz w:val="28"/>
          <w:szCs w:val="21"/>
        </w:rPr>
      </w:pPr>
      <w:r>
        <w:rPr>
          <w:rFonts w:hint="eastAsia" w:ascii="楷体" w:hAnsi="楷体" w:eastAsia="楷体" w:cs="Calibri"/>
          <w:sz w:val="28"/>
          <w:szCs w:val="21"/>
        </w:rPr>
        <w:t xml:space="preserve">法定代表人：                         邮    编：        </w:t>
      </w:r>
    </w:p>
    <w:p>
      <w:pPr>
        <w:rPr>
          <w:rFonts w:ascii="楷体" w:hAnsi="楷体" w:eastAsia="楷体" w:cs="Calibri"/>
          <w:sz w:val="28"/>
          <w:szCs w:val="21"/>
        </w:rPr>
      </w:pPr>
      <w:r>
        <w:rPr>
          <w:rFonts w:hint="eastAsia" w:ascii="楷体" w:hAnsi="楷体" w:eastAsia="楷体" w:cs="Calibri"/>
          <w:sz w:val="28"/>
          <w:szCs w:val="21"/>
        </w:rPr>
        <w:t xml:space="preserve">电      话：                         传    真：       </w:t>
      </w:r>
    </w:p>
    <w:p>
      <w:pPr>
        <w:rPr>
          <w:rFonts w:ascii="楷体" w:hAnsi="楷体" w:eastAsia="楷体" w:cs="Calibri"/>
          <w:sz w:val="28"/>
          <w:szCs w:val="21"/>
        </w:rPr>
      </w:pPr>
      <w:r>
        <w:rPr>
          <w:rFonts w:hint="eastAsia" w:ascii="楷体" w:hAnsi="楷体" w:eastAsia="楷体" w:cs="Calibri"/>
          <w:sz w:val="28"/>
          <w:szCs w:val="21"/>
        </w:rPr>
        <w:t>税务登记号 ：</w:t>
      </w:r>
      <w:r>
        <w:rPr>
          <w:rFonts w:ascii="楷体" w:hAnsi="楷体" w:eastAsia="楷体" w:cs="Calibri"/>
          <w:sz w:val="28"/>
          <w:szCs w:val="21"/>
        </w:rPr>
        <w:t xml:space="preserve"> </w:t>
      </w:r>
    </w:p>
    <w:p>
      <w:pPr>
        <w:rPr>
          <w:rFonts w:ascii="楷体" w:hAnsi="楷体" w:eastAsia="楷体" w:cs="Calibri"/>
          <w:b/>
          <w:sz w:val="28"/>
          <w:szCs w:val="21"/>
        </w:rPr>
      </w:pPr>
      <w:r>
        <w:rPr>
          <w:rFonts w:hint="eastAsia" w:ascii="楷体" w:hAnsi="楷体" w:eastAsia="楷体" w:cs="Calibri"/>
          <w:sz w:val="28"/>
          <w:szCs w:val="21"/>
        </w:rPr>
        <w:t>开  户  行：                         帐    号：</w:t>
      </w:r>
      <w:r>
        <w:rPr>
          <w:rFonts w:ascii="楷体" w:hAnsi="楷体" w:eastAsia="楷体" w:cs="Calibri"/>
          <w:b/>
          <w:sz w:val="28"/>
          <w:szCs w:val="21"/>
        </w:rPr>
        <w:t xml:space="preserve"> </w:t>
      </w:r>
    </w:p>
    <w:p>
      <w:pPr>
        <w:rPr>
          <w:rFonts w:ascii="楷体" w:hAnsi="楷体" w:eastAsia="楷体" w:cs="Calibri"/>
          <w:b/>
          <w:sz w:val="28"/>
          <w:szCs w:val="21"/>
        </w:rPr>
      </w:pPr>
      <w:r>
        <w:rPr>
          <w:rFonts w:hint="eastAsia" w:ascii="楷体" w:hAnsi="楷体" w:eastAsia="楷体" w:cs="Calibri"/>
          <w:b/>
          <w:sz w:val="28"/>
          <w:szCs w:val="21"/>
        </w:rPr>
        <w:t xml:space="preserve">   </w:t>
      </w:r>
    </w:p>
    <w:p>
      <w:pPr>
        <w:rPr>
          <w:rFonts w:ascii="楷体" w:hAnsi="楷体" w:eastAsia="楷体" w:cs="Calibri"/>
          <w:b/>
          <w:sz w:val="28"/>
          <w:szCs w:val="21"/>
        </w:rPr>
      </w:pPr>
    </w:p>
    <w:p>
      <w:pPr>
        <w:rPr>
          <w:rFonts w:ascii="楷体" w:hAnsi="楷体" w:eastAsia="楷体" w:cs="Calibri"/>
          <w:szCs w:val="21"/>
        </w:rPr>
      </w:pPr>
    </w:p>
    <w:p>
      <w:pPr>
        <w:rPr>
          <w:rFonts w:ascii="楷体" w:hAnsi="楷体" w:eastAsia="楷体" w:cs="Calibri"/>
          <w:szCs w:val="21"/>
        </w:rPr>
      </w:pPr>
    </w:p>
    <w:p>
      <w:pPr>
        <w:rPr>
          <w:rFonts w:ascii="楷体" w:hAnsi="楷体" w:eastAsia="楷体" w:cs="Calibri"/>
          <w:szCs w:val="21"/>
        </w:rPr>
      </w:pPr>
    </w:p>
    <w:p>
      <w:pPr>
        <w:jc w:val="center"/>
        <w:rPr>
          <w:rFonts w:ascii="楷体" w:hAnsi="楷体" w:eastAsia="楷体" w:cs="Calibri"/>
          <w:b/>
          <w:sz w:val="32"/>
          <w:szCs w:val="21"/>
        </w:rPr>
      </w:pPr>
      <w:r>
        <w:rPr>
          <w:rFonts w:hint="eastAsia" w:ascii="楷体" w:hAnsi="楷体" w:eastAsia="楷体" w:cs="Calibri"/>
          <w:b/>
          <w:sz w:val="32"/>
          <w:szCs w:val="21"/>
        </w:rPr>
        <w:t>×××合同正文</w:t>
      </w:r>
    </w:p>
    <w:p>
      <w:pPr>
        <w:spacing w:line="360" w:lineRule="auto"/>
        <w:ind w:firstLine="420" w:firstLineChars="200"/>
        <w:rPr>
          <w:rFonts w:ascii="楷体" w:hAnsi="楷体" w:eastAsia="楷体" w:cs="Calibri"/>
          <w:szCs w:val="21"/>
        </w:rPr>
      </w:pPr>
    </w:p>
    <w:p>
      <w:pPr>
        <w:spacing w:line="360" w:lineRule="auto"/>
        <w:ind w:firstLine="420" w:firstLineChars="200"/>
        <w:rPr>
          <w:rFonts w:ascii="楷体" w:hAnsi="楷体" w:eastAsia="楷体" w:cs="Calibri"/>
          <w:szCs w:val="21"/>
        </w:rPr>
      </w:pPr>
      <w:r>
        <w:rPr>
          <w:rFonts w:hint="eastAsia" w:ascii="楷体" w:hAnsi="楷体" w:eastAsia="楷体" w:cs="Calibri"/>
          <w:szCs w:val="21"/>
        </w:rPr>
        <w:t>经北京大学人民医院（以下简称“甲方”）与</w:t>
      </w:r>
      <w:r>
        <w:rPr>
          <w:rFonts w:hint="eastAsia" w:ascii="楷体" w:hAnsi="楷体" w:eastAsia="楷体" w:cs="Calibri"/>
          <w:szCs w:val="21"/>
          <w:u w:val="single"/>
        </w:rPr>
        <w:t xml:space="preserve">            </w:t>
      </w:r>
      <w:r>
        <w:rPr>
          <w:rFonts w:hint="eastAsia" w:ascii="楷体" w:hAnsi="楷体" w:eastAsia="楷体" w:cs="Calibri"/>
          <w:szCs w:val="21"/>
        </w:rPr>
        <w:t>（以下简称“乙方”）对</w:t>
      </w:r>
      <w:r>
        <w:rPr>
          <w:rFonts w:hint="eastAsia" w:ascii="楷体" w:hAnsi="楷体" w:eastAsia="楷体" w:cs="Calibri"/>
          <w:szCs w:val="21"/>
          <w:u w:val="single"/>
        </w:rPr>
        <w:t xml:space="preserve">       </w:t>
      </w:r>
      <w:r>
        <w:rPr>
          <w:rFonts w:hint="eastAsia" w:ascii="楷体" w:hAnsi="楷体" w:eastAsia="楷体" w:cs="Calibri"/>
          <w:szCs w:val="21"/>
        </w:rPr>
        <w:t>的商务谈判，双方依照自愿平等原则，签订本合同。</w:t>
      </w:r>
    </w:p>
    <w:p>
      <w:pPr>
        <w:spacing w:line="360" w:lineRule="auto"/>
        <w:ind w:firstLine="420" w:firstLineChars="200"/>
        <w:rPr>
          <w:rFonts w:ascii="楷体" w:hAnsi="楷体" w:eastAsia="楷体" w:cs="Calibri"/>
          <w:szCs w:val="21"/>
        </w:rPr>
      </w:pPr>
      <w:r>
        <w:rPr>
          <w:rFonts w:hint="eastAsia" w:ascii="楷体" w:hAnsi="楷体" w:eastAsia="楷体" w:cs="Calibri"/>
          <w:szCs w:val="21"/>
        </w:rPr>
        <w:t>本合同在此声明如下：</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1．下述文件是本合同的一部分，并与本合同一起阅读和解释：</w:t>
      </w:r>
    </w:p>
    <w:p>
      <w:pPr>
        <w:spacing w:line="360" w:lineRule="auto"/>
        <w:ind w:firstLine="420" w:firstLineChars="200"/>
        <w:rPr>
          <w:rFonts w:ascii="楷体" w:hAnsi="楷体" w:eastAsia="楷体" w:cs="Calibri"/>
          <w:szCs w:val="21"/>
        </w:rPr>
      </w:pPr>
      <w:r>
        <w:rPr>
          <w:rFonts w:hint="eastAsia" w:ascii="楷体" w:hAnsi="楷体" w:eastAsia="楷体" w:cs="Calibri"/>
          <w:szCs w:val="21"/>
        </w:rPr>
        <w:t>(l)合同条款</w:t>
      </w:r>
    </w:p>
    <w:p>
      <w:pPr>
        <w:spacing w:line="360" w:lineRule="auto"/>
        <w:ind w:firstLine="420" w:firstLineChars="200"/>
        <w:rPr>
          <w:rFonts w:ascii="楷体" w:hAnsi="楷体" w:eastAsia="楷体" w:cs="Calibri"/>
          <w:szCs w:val="21"/>
        </w:rPr>
      </w:pPr>
      <w:r>
        <w:rPr>
          <w:rFonts w:hint="eastAsia" w:ascii="楷体" w:hAnsi="楷体" w:eastAsia="楷体" w:cs="Calibri"/>
          <w:szCs w:val="21"/>
        </w:rPr>
        <w:t>(2)合同条款附件</w:t>
      </w:r>
    </w:p>
    <w:p>
      <w:pPr>
        <w:spacing w:line="360" w:lineRule="auto"/>
        <w:ind w:firstLine="420" w:firstLineChars="200"/>
        <w:rPr>
          <w:rFonts w:ascii="楷体" w:hAnsi="楷体" w:eastAsia="楷体" w:cs="Calibri"/>
          <w:szCs w:val="21"/>
        </w:rPr>
      </w:pPr>
      <w:r>
        <w:rPr>
          <w:rFonts w:hint="eastAsia" w:ascii="楷体" w:hAnsi="楷体" w:eastAsia="楷体" w:cs="Calibri"/>
          <w:szCs w:val="21"/>
        </w:rPr>
        <w:t>2．考虑到甲方将按照本合同向乙方支付，乙方在此保证全部按照合同的规定向甲方提供技术服务，并修补缺陷。</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3．考虑到乙方提供的技术服务并修补缺陷，甲方在此保证按照合同规定的时间和方式向乙方支付合同价。</w:t>
      </w:r>
    </w:p>
    <w:p>
      <w:pPr>
        <w:spacing w:line="360" w:lineRule="auto"/>
        <w:ind w:firstLine="482" w:firstLineChars="200"/>
        <w:rPr>
          <w:rFonts w:ascii="楷体" w:hAnsi="楷体" w:eastAsia="楷体" w:cs="Calibri"/>
          <w:b/>
          <w:sz w:val="24"/>
          <w:szCs w:val="24"/>
        </w:rPr>
      </w:pPr>
      <w:r>
        <w:rPr>
          <w:rFonts w:hint="eastAsia" w:ascii="楷体" w:hAnsi="楷体" w:eastAsia="楷体" w:cs="Calibri"/>
          <w:b/>
          <w:sz w:val="24"/>
          <w:szCs w:val="24"/>
        </w:rPr>
        <w:t>一、委托事项内容</w:t>
      </w:r>
    </w:p>
    <w:p>
      <w:pPr>
        <w:spacing w:line="360" w:lineRule="auto"/>
        <w:ind w:firstLine="420" w:firstLineChars="200"/>
        <w:rPr>
          <w:rFonts w:ascii="楷体" w:hAnsi="楷体" w:eastAsia="楷体" w:cs="Calibri"/>
          <w:szCs w:val="21"/>
          <w:u w:val="single"/>
        </w:rPr>
      </w:pPr>
      <w:r>
        <w:rPr>
          <w:rFonts w:hint="eastAsia" w:ascii="楷体" w:hAnsi="楷体" w:eastAsia="楷体" w:cs="Calibri"/>
          <w:szCs w:val="21"/>
        </w:rPr>
        <w:t>1.1双方约定，乙方完成甲方所委托</w:t>
      </w:r>
      <w:r>
        <w:rPr>
          <w:rFonts w:hint="eastAsia" w:ascii="楷体" w:hAnsi="楷体" w:eastAsia="楷体" w:cs="Calibri"/>
          <w:szCs w:val="21"/>
          <w:u w:val="single"/>
        </w:rPr>
        <w:t xml:space="preserve">                  。</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1.2本合同期限自</w:t>
      </w:r>
      <w:r>
        <w:rPr>
          <w:rFonts w:hint="eastAsia" w:ascii="楷体" w:hAnsi="楷体" w:eastAsia="楷体" w:cs="Calibri"/>
          <w:szCs w:val="21"/>
          <w:u w:val="single"/>
        </w:rPr>
        <w:t xml:space="preserve">      </w:t>
      </w:r>
      <w:r>
        <w:rPr>
          <w:rFonts w:hint="eastAsia" w:ascii="楷体" w:hAnsi="楷体" w:eastAsia="楷体" w:cs="Calibri"/>
          <w:szCs w:val="21"/>
        </w:rPr>
        <w:t>起生效，至</w:t>
      </w:r>
      <w:r>
        <w:rPr>
          <w:rFonts w:hint="eastAsia" w:ascii="楷体" w:hAnsi="楷体" w:eastAsia="楷体" w:cs="Calibri"/>
          <w:szCs w:val="21"/>
          <w:u w:val="single"/>
        </w:rPr>
        <w:t xml:space="preserve">       </w:t>
      </w:r>
      <w:r>
        <w:rPr>
          <w:rFonts w:hint="eastAsia" w:ascii="楷体" w:hAnsi="楷体" w:eastAsia="楷体" w:cs="Calibri"/>
          <w:szCs w:val="21"/>
        </w:rPr>
        <w:t>终止。</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1.3本合同项下的委托项目履行地点为</w:t>
      </w:r>
      <w:r>
        <w:rPr>
          <w:rFonts w:hint="eastAsia" w:ascii="楷体" w:hAnsi="楷体" w:eastAsia="楷体" w:cs="Calibri"/>
          <w:szCs w:val="21"/>
          <w:u w:val="single"/>
        </w:rPr>
        <w:t xml:space="preserve">           </w:t>
      </w:r>
      <w:r>
        <w:rPr>
          <w:rFonts w:hint="eastAsia" w:ascii="楷体" w:hAnsi="楷体" w:eastAsia="楷体" w:cs="Calibri"/>
          <w:szCs w:val="21"/>
        </w:rPr>
        <w:t>。</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1.4项目主要内容及交付物（附件：     ）</w:t>
      </w:r>
    </w:p>
    <w:p>
      <w:pPr>
        <w:spacing w:line="360" w:lineRule="auto"/>
        <w:ind w:firstLine="361" w:firstLineChars="150"/>
        <w:rPr>
          <w:rFonts w:ascii="楷体" w:hAnsi="楷体" w:eastAsia="楷体" w:cs="Calibri"/>
          <w:b/>
          <w:sz w:val="24"/>
          <w:szCs w:val="21"/>
        </w:rPr>
      </w:pPr>
      <w:r>
        <w:rPr>
          <w:rFonts w:hint="eastAsia" w:ascii="楷体" w:hAnsi="楷体" w:eastAsia="楷体" w:cs="Calibri"/>
          <w:b/>
          <w:sz w:val="24"/>
          <w:szCs w:val="21"/>
        </w:rPr>
        <w:t>二、服务费用</w:t>
      </w:r>
    </w:p>
    <w:p>
      <w:pPr>
        <w:spacing w:line="360" w:lineRule="auto"/>
        <w:ind w:firstLine="420" w:firstLineChars="200"/>
        <w:rPr>
          <w:rFonts w:ascii="楷体" w:hAnsi="楷体" w:eastAsia="楷体" w:cs="Calibri"/>
          <w:szCs w:val="21"/>
        </w:rPr>
      </w:pPr>
      <w:r>
        <w:rPr>
          <w:rFonts w:hint="eastAsia" w:ascii="楷体" w:hAnsi="楷体" w:eastAsia="楷体" w:cs="Calibri"/>
          <w:szCs w:val="21"/>
        </w:rPr>
        <w:t>2.1合同含税总金额为：大写：</w:t>
      </w:r>
      <w:r>
        <w:rPr>
          <w:rFonts w:hint="eastAsia" w:ascii="楷体" w:hAnsi="楷体" w:eastAsia="楷体" w:cs="Calibri"/>
          <w:szCs w:val="21"/>
          <w:u w:val="single"/>
        </w:rPr>
        <w:t xml:space="preserve">           </w:t>
      </w:r>
      <w:r>
        <w:rPr>
          <w:rFonts w:hint="eastAsia" w:ascii="楷体" w:hAnsi="楷体" w:eastAsia="楷体" w:cs="Calibri"/>
          <w:szCs w:val="21"/>
        </w:rPr>
        <w:t>元整；小写：</w:t>
      </w:r>
      <w:r>
        <w:rPr>
          <w:rFonts w:hint="eastAsia" w:ascii="楷体" w:hAnsi="楷体" w:eastAsia="楷体" w:cs="Calibri"/>
          <w:szCs w:val="21"/>
          <w:u w:val="single"/>
        </w:rPr>
        <w:t xml:space="preserve">           </w:t>
      </w:r>
      <w:r>
        <w:rPr>
          <w:rFonts w:hint="eastAsia" w:ascii="楷体" w:hAnsi="楷体" w:eastAsia="楷体" w:cs="Calibri"/>
          <w:szCs w:val="21"/>
        </w:rPr>
        <w:t>元整。</w:t>
      </w:r>
    </w:p>
    <w:p>
      <w:pPr>
        <w:spacing w:line="360" w:lineRule="auto"/>
        <w:ind w:firstLine="420" w:firstLineChars="200"/>
        <w:rPr>
          <w:rFonts w:ascii="楷体" w:hAnsi="楷体" w:eastAsia="楷体" w:cs="Calibri"/>
          <w:szCs w:val="21"/>
          <w:u w:val="single"/>
        </w:rPr>
      </w:pPr>
      <w:r>
        <w:rPr>
          <w:rFonts w:hint="eastAsia" w:ascii="楷体" w:hAnsi="楷体" w:eastAsia="楷体" w:cs="Calibri"/>
          <w:szCs w:val="21"/>
        </w:rPr>
        <w:t xml:space="preserve">2.2价格明细表： </w:t>
      </w:r>
      <w:r>
        <w:rPr>
          <w:rFonts w:hint="eastAsia" w:ascii="楷体" w:hAnsi="楷体" w:eastAsia="楷体" w:cs="Calibri"/>
          <w:szCs w:val="21"/>
          <w:u w:val="single"/>
        </w:rPr>
        <w:t xml:space="preserve">         </w:t>
      </w:r>
    </w:p>
    <w:p>
      <w:pPr>
        <w:spacing w:line="300" w:lineRule="auto"/>
        <w:ind w:left="630" w:leftChars="200" w:hanging="210" w:hangingChars="100"/>
        <w:rPr>
          <w:rFonts w:ascii="楷体" w:hAnsi="楷体" w:eastAsia="楷体" w:cs="Calibri"/>
          <w:szCs w:val="21"/>
        </w:rPr>
      </w:pPr>
      <w:r>
        <w:rPr>
          <w:rFonts w:hint="eastAsia" w:ascii="楷体" w:hAnsi="楷体" w:eastAsia="楷体" w:cs="Calibri"/>
          <w:szCs w:val="21"/>
        </w:rPr>
        <w:t>2.3支付方式：甲方按以下方式付款：乙方提供合规发票</w:t>
      </w:r>
      <w:r>
        <w:rPr>
          <w:rFonts w:hint="eastAsia" w:ascii="楷体" w:hAnsi="楷体" w:eastAsia="楷体" w:cs="Calibri"/>
          <w:szCs w:val="21"/>
          <w:u w:val="single"/>
        </w:rPr>
        <w:t xml:space="preserve">         </w:t>
      </w:r>
      <w:r>
        <w:rPr>
          <w:rFonts w:hint="eastAsia" w:ascii="楷体" w:hAnsi="楷体" w:eastAsia="楷体" w:cs="Calibri"/>
          <w:szCs w:val="21"/>
        </w:rPr>
        <w:t xml:space="preserve"> </w:t>
      </w:r>
    </w:p>
    <w:p>
      <w:pPr>
        <w:spacing w:line="360" w:lineRule="auto"/>
        <w:ind w:firstLine="361" w:firstLineChars="150"/>
        <w:rPr>
          <w:rFonts w:ascii="楷体" w:hAnsi="楷体" w:eastAsia="楷体" w:cs="Calibri"/>
          <w:b/>
          <w:sz w:val="24"/>
          <w:szCs w:val="21"/>
        </w:rPr>
      </w:pPr>
      <w:r>
        <w:rPr>
          <w:rFonts w:hint="eastAsia" w:ascii="楷体" w:hAnsi="楷体" w:eastAsia="楷体" w:cs="Calibri"/>
          <w:b/>
          <w:sz w:val="24"/>
          <w:szCs w:val="21"/>
        </w:rPr>
        <w:t>三、双方的权利和义务</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3.1甲方的权利和义务</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3.1.1甲方审核乙方提交的委托项目工作方案和配套工作计划。</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3.1.2甲方检查监督乙方完成委托项目工作的进度。</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3.1.3甲方对乙方提交的符合本合同约定条件的工作成果或相关文件进行审核及验收。</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3.1.4乙方自接到甲方提供的所委托项目的技术资料和数据之日起</w:t>
      </w:r>
      <w:r>
        <w:rPr>
          <w:rFonts w:hint="eastAsia" w:ascii="楷体" w:hAnsi="楷体" w:eastAsia="楷体" w:cs="Calibri"/>
          <w:szCs w:val="21"/>
          <w:u w:val="single"/>
        </w:rPr>
        <w:t xml:space="preserve">   </w:t>
      </w:r>
      <w:r>
        <w:rPr>
          <w:rFonts w:hint="eastAsia" w:ascii="楷体" w:hAnsi="楷体" w:eastAsia="楷体" w:cs="Calibri"/>
          <w:szCs w:val="21"/>
        </w:rPr>
        <w:t>日内，不进行调查论证的，甲方有权单方决定取消对该项目的委托。</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3.1.5乙方在完成委托项目的过程中，甲方为乙方提供必要的协调帮助。</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3.1.6甲方应按照合同条款及时向乙方支付相应的费用。</w:t>
      </w:r>
    </w:p>
    <w:p>
      <w:pPr>
        <w:spacing w:line="360" w:lineRule="auto"/>
        <w:ind w:firstLine="420" w:firstLineChars="200"/>
        <w:rPr>
          <w:rFonts w:ascii="楷体" w:hAnsi="楷体" w:eastAsia="楷体" w:cs="Calibri"/>
          <w:szCs w:val="21"/>
        </w:rPr>
      </w:pPr>
      <w:r>
        <w:rPr>
          <w:rFonts w:hint="eastAsia" w:ascii="楷体" w:hAnsi="楷体" w:eastAsia="楷体" w:cs="Calibri"/>
          <w:szCs w:val="21"/>
        </w:rPr>
        <w:t>3.2乙方的权利和义务</w:t>
      </w:r>
    </w:p>
    <w:p>
      <w:pPr>
        <w:spacing w:line="360" w:lineRule="auto"/>
        <w:ind w:firstLine="420" w:firstLineChars="200"/>
        <w:rPr>
          <w:rFonts w:ascii="楷体" w:hAnsi="楷体" w:eastAsia="楷体" w:cs="Calibri"/>
          <w:szCs w:val="21"/>
        </w:rPr>
      </w:pPr>
      <w:r>
        <w:rPr>
          <w:rFonts w:hint="eastAsia" w:ascii="楷体" w:hAnsi="楷体" w:eastAsia="楷体" w:cs="Calibri"/>
          <w:bCs/>
          <w:iCs/>
          <w:szCs w:val="21"/>
        </w:rPr>
        <w:t>3.2.1</w:t>
      </w:r>
      <w:r>
        <w:rPr>
          <w:rFonts w:hint="eastAsia" w:ascii="楷体" w:hAnsi="楷体" w:eastAsia="楷体" w:cs="Calibri"/>
          <w:szCs w:val="21"/>
        </w:rPr>
        <w:t>乙方依照本合同的约定向甲方提供专业的</w:t>
      </w:r>
      <w:r>
        <w:rPr>
          <w:rFonts w:hint="eastAsia" w:ascii="楷体" w:hAnsi="楷体" w:eastAsia="楷体" w:cs="Calibri"/>
          <w:szCs w:val="21"/>
          <w:u w:val="single"/>
        </w:rPr>
        <w:t xml:space="preserve">     </w:t>
      </w:r>
      <w:r>
        <w:rPr>
          <w:rFonts w:hint="eastAsia" w:ascii="楷体" w:hAnsi="楷体" w:eastAsia="楷体" w:cs="Calibri"/>
          <w:szCs w:val="21"/>
        </w:rPr>
        <w:t>服务，并在规定的委托项目工作时间期限内完成委托项目的工作，随时接受甲方的检查监督，并为检查监督提供相应材料及便利条件。</w:t>
      </w:r>
    </w:p>
    <w:p>
      <w:pPr>
        <w:spacing w:line="360" w:lineRule="auto"/>
        <w:ind w:firstLine="420" w:firstLineChars="200"/>
        <w:rPr>
          <w:rFonts w:ascii="楷体" w:hAnsi="楷体" w:eastAsia="楷体" w:cs="Calibri"/>
          <w:bCs/>
          <w:iCs/>
          <w:szCs w:val="21"/>
        </w:rPr>
      </w:pPr>
      <w:r>
        <w:rPr>
          <w:rFonts w:hint="eastAsia" w:ascii="楷体" w:hAnsi="楷体" w:eastAsia="楷体" w:cs="Calibri"/>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pPr>
        <w:spacing w:line="360" w:lineRule="auto"/>
        <w:ind w:firstLine="420" w:firstLineChars="200"/>
        <w:rPr>
          <w:rFonts w:ascii="楷体" w:hAnsi="楷体" w:eastAsia="楷体" w:cs="Calibri"/>
          <w:bCs/>
          <w:iCs/>
          <w:szCs w:val="21"/>
        </w:rPr>
      </w:pPr>
      <w:r>
        <w:rPr>
          <w:rFonts w:hint="eastAsia" w:ascii="楷体" w:hAnsi="楷体" w:eastAsia="楷体" w:cs="Calibri"/>
          <w:szCs w:val="21"/>
        </w:rPr>
        <w:t xml:space="preserve">3.2.3乙方发现甲方提供的技术资料、数据有明显错误和缺陷的，有权于收到上述资料后 </w:t>
      </w:r>
      <w:r>
        <w:rPr>
          <w:rFonts w:hint="eastAsia" w:ascii="楷体" w:hAnsi="楷体" w:eastAsia="楷体" w:cs="Calibri"/>
          <w:szCs w:val="21"/>
          <w:u w:val="single"/>
        </w:rPr>
        <w:t>5</w:t>
      </w:r>
      <w:r>
        <w:rPr>
          <w:rFonts w:hint="eastAsia" w:ascii="楷体" w:hAnsi="楷体" w:eastAsia="楷体" w:cs="Calibri"/>
          <w:szCs w:val="21"/>
        </w:rPr>
        <w:t>日内书面通知甲方进行补充、修改。如逾期未提出异议的，则视为甲方提交的资料、数据符合合同约定的条件。</w:t>
      </w:r>
    </w:p>
    <w:p>
      <w:pPr>
        <w:spacing w:line="360" w:lineRule="auto"/>
        <w:ind w:firstLine="420" w:firstLineChars="200"/>
        <w:rPr>
          <w:rFonts w:ascii="楷体" w:hAnsi="楷体" w:eastAsia="楷体" w:cs="Calibri"/>
          <w:bCs/>
          <w:iCs/>
          <w:szCs w:val="21"/>
        </w:rPr>
      </w:pPr>
      <w:r>
        <w:rPr>
          <w:rFonts w:hint="eastAsia" w:ascii="楷体" w:hAnsi="楷体" w:eastAsia="楷体" w:cs="Calibri"/>
          <w:bCs/>
          <w:iCs/>
          <w:szCs w:val="21"/>
        </w:rPr>
        <w:t>3.2.4甲方对乙方提交的委托项目工作成果提出质疑或要求乙方答复时，乙方须在收到甲方的质疑后</w:t>
      </w:r>
      <w:r>
        <w:rPr>
          <w:rFonts w:hint="eastAsia" w:ascii="楷体" w:hAnsi="楷体" w:eastAsia="楷体" w:cs="Calibri"/>
          <w:bCs/>
          <w:iCs/>
          <w:szCs w:val="21"/>
          <w:u w:val="single"/>
        </w:rPr>
        <w:t xml:space="preserve"> 3 </w:t>
      </w:r>
      <w:r>
        <w:rPr>
          <w:rFonts w:hint="eastAsia" w:ascii="楷体" w:hAnsi="楷体" w:eastAsia="楷体" w:cs="Calibri"/>
          <w:bCs/>
          <w:iCs/>
          <w:szCs w:val="21"/>
        </w:rPr>
        <w:t>日内给予书面解释或答复。</w:t>
      </w:r>
    </w:p>
    <w:p>
      <w:pPr>
        <w:spacing w:line="360" w:lineRule="auto"/>
        <w:ind w:firstLine="315" w:firstLineChars="150"/>
        <w:rPr>
          <w:rFonts w:ascii="楷体" w:hAnsi="楷体" w:eastAsia="楷体" w:cs="Calibri"/>
          <w:szCs w:val="21"/>
        </w:rPr>
      </w:pPr>
      <w:r>
        <w:rPr>
          <w:rFonts w:hint="eastAsia" w:ascii="楷体" w:hAnsi="楷体" w:eastAsia="楷体" w:cs="Calibri"/>
          <w:bCs/>
          <w:iCs/>
          <w:szCs w:val="21"/>
        </w:rPr>
        <w:t>3.2.5乙方为甲方服务期间，因乙方原因造成的事故，其责任与损失均由乙方承担。</w:t>
      </w:r>
    </w:p>
    <w:p>
      <w:pPr>
        <w:spacing w:line="360" w:lineRule="auto"/>
        <w:ind w:firstLine="359" w:firstLineChars="149"/>
        <w:rPr>
          <w:rFonts w:ascii="楷体" w:hAnsi="楷体" w:eastAsia="楷体" w:cs="Calibri"/>
          <w:b/>
          <w:sz w:val="24"/>
          <w:szCs w:val="21"/>
        </w:rPr>
      </w:pPr>
      <w:r>
        <w:rPr>
          <w:rFonts w:hint="eastAsia" w:ascii="楷体" w:hAnsi="楷体" w:eastAsia="楷体" w:cs="Calibri"/>
          <w:b/>
          <w:sz w:val="24"/>
          <w:szCs w:val="21"/>
        </w:rPr>
        <w:t>四、服务质量管理</w:t>
      </w:r>
      <w:r>
        <w:rPr>
          <w:rFonts w:ascii="楷体" w:hAnsi="楷体" w:eastAsia="楷体" w:cs="Calibri"/>
          <w:b/>
          <w:sz w:val="24"/>
          <w:szCs w:val="21"/>
        </w:rPr>
        <w:t xml:space="preserve"> </w:t>
      </w:r>
    </w:p>
    <w:p>
      <w:pPr>
        <w:spacing w:line="360" w:lineRule="auto"/>
        <w:ind w:firstLine="420" w:firstLineChars="200"/>
        <w:rPr>
          <w:rFonts w:ascii="楷体" w:hAnsi="楷体" w:eastAsia="楷体" w:cs="Calibri"/>
          <w:szCs w:val="21"/>
        </w:rPr>
      </w:pPr>
      <w:r>
        <w:rPr>
          <w:rFonts w:hint="eastAsia" w:ascii="楷体" w:hAnsi="楷体" w:eastAsia="楷体" w:cs="Calibri"/>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pPr>
        <w:spacing w:line="360" w:lineRule="auto"/>
        <w:ind w:firstLine="420" w:firstLineChars="200"/>
        <w:rPr>
          <w:rFonts w:ascii="楷体" w:hAnsi="楷体" w:eastAsia="楷体" w:cs="Calibri"/>
          <w:szCs w:val="21"/>
        </w:rPr>
      </w:pPr>
      <w:r>
        <w:rPr>
          <w:rFonts w:hint="eastAsia" w:ascii="楷体" w:hAnsi="楷体" w:eastAsia="楷体" w:cs="Calibri"/>
          <w:szCs w:val="21"/>
        </w:rPr>
        <w:t>4.2乙方向甲方提交完整的委托项目工作成果后，应在甲方指定的地点接受甲方对其工作成果进行质量评审。</w:t>
      </w:r>
    </w:p>
    <w:p>
      <w:pPr>
        <w:spacing w:line="360" w:lineRule="auto"/>
        <w:ind w:firstLine="420" w:firstLineChars="200"/>
        <w:rPr>
          <w:rFonts w:ascii="楷体" w:hAnsi="楷体" w:eastAsia="楷体" w:cs="Calibri"/>
          <w:szCs w:val="21"/>
        </w:rPr>
      </w:pPr>
      <w:r>
        <w:rPr>
          <w:rFonts w:hint="eastAsia" w:ascii="楷体" w:hAnsi="楷体" w:eastAsia="楷体" w:cs="Calibri"/>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pPr>
        <w:spacing w:line="360" w:lineRule="auto"/>
        <w:ind w:firstLine="479" w:firstLineChars="199"/>
        <w:rPr>
          <w:rFonts w:ascii="楷体" w:hAnsi="楷体" w:eastAsia="楷体" w:cs="Calibri"/>
          <w:b/>
          <w:sz w:val="24"/>
          <w:szCs w:val="24"/>
        </w:rPr>
      </w:pPr>
      <w:r>
        <w:rPr>
          <w:rFonts w:hint="eastAsia" w:ascii="楷体" w:hAnsi="楷体" w:eastAsia="楷体" w:cs="Calibri"/>
          <w:b/>
          <w:sz w:val="24"/>
          <w:szCs w:val="24"/>
        </w:rPr>
        <w:t>五、知识产权</w:t>
      </w:r>
    </w:p>
    <w:p>
      <w:pPr>
        <w:spacing w:line="360" w:lineRule="auto"/>
        <w:ind w:firstLine="522" w:firstLineChars="249"/>
        <w:rPr>
          <w:rFonts w:ascii="楷体" w:hAnsi="楷体" w:eastAsia="楷体" w:cs="Calibri"/>
          <w:b/>
          <w:sz w:val="24"/>
          <w:szCs w:val="24"/>
        </w:rPr>
      </w:pPr>
      <w:r>
        <w:rPr>
          <w:rFonts w:hint="eastAsia" w:ascii="楷体" w:hAnsi="楷体" w:eastAsia="楷体" w:cs="Calibri"/>
          <w:szCs w:val="21"/>
        </w:rPr>
        <w:t>5.1在本合同有效期内，乙方利用甲方提供的技术资料和工作条件所完成的新的技术成果，归</w:t>
      </w:r>
      <w:r>
        <w:rPr>
          <w:rFonts w:hint="eastAsia" w:ascii="楷体" w:hAnsi="楷体" w:eastAsia="楷体" w:cs="Calibri"/>
          <w:szCs w:val="21"/>
          <w:u w:val="single"/>
        </w:rPr>
        <w:t xml:space="preserve"> 甲</w:t>
      </w:r>
      <w:r>
        <w:rPr>
          <w:rFonts w:hint="eastAsia" w:ascii="楷体" w:hAnsi="楷体" w:eastAsia="楷体" w:cs="Calibri"/>
          <w:szCs w:val="21"/>
        </w:rPr>
        <w:t xml:space="preserve"> 方所有；合同有效期内，甲方利用乙方提交的技术咨询工作成果所完成的新的技术成果，归甲方所有。</w:t>
      </w:r>
    </w:p>
    <w:p>
      <w:pPr>
        <w:spacing w:line="360" w:lineRule="auto"/>
        <w:ind w:firstLine="420" w:firstLineChars="200"/>
        <w:rPr>
          <w:rFonts w:ascii="楷体" w:hAnsi="楷体" w:eastAsia="楷体" w:cs="Calibri"/>
          <w:szCs w:val="21"/>
        </w:rPr>
      </w:pPr>
      <w:r>
        <w:rPr>
          <w:rFonts w:hint="eastAsia" w:ascii="楷体" w:hAnsi="楷体" w:eastAsia="楷体" w:cs="Calibri"/>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pPr>
        <w:spacing w:line="360" w:lineRule="auto"/>
        <w:ind w:firstLine="420" w:firstLineChars="200"/>
        <w:rPr>
          <w:rFonts w:ascii="楷体" w:hAnsi="楷体" w:eastAsia="楷体" w:cs="Calibri"/>
          <w:szCs w:val="21"/>
        </w:rPr>
      </w:pPr>
      <w:r>
        <w:rPr>
          <w:rFonts w:hint="eastAsia" w:ascii="楷体" w:hAnsi="楷体" w:eastAsia="楷体" w:cs="Calibri"/>
          <w:szCs w:val="21"/>
        </w:rPr>
        <w:t>5.3在履行合同过程中，若乙方未经甲方同意或认可，擅自使用或连接侵犯第三方专利或著作权的设备、软件、程序代码等，则由此引起的一切后果由乙方承担，甲方不承担任何责任。</w:t>
      </w:r>
    </w:p>
    <w:p>
      <w:pPr>
        <w:spacing w:line="360" w:lineRule="auto"/>
        <w:ind w:firstLine="420" w:firstLineChars="200"/>
        <w:rPr>
          <w:rFonts w:ascii="楷体" w:hAnsi="楷体" w:eastAsia="楷体" w:cs="Calibri"/>
          <w:szCs w:val="21"/>
        </w:rPr>
      </w:pPr>
      <w:r>
        <w:rPr>
          <w:rFonts w:hint="eastAsia" w:ascii="楷体" w:hAnsi="楷体" w:eastAsia="楷体" w:cs="Calibri"/>
          <w:szCs w:val="21"/>
        </w:rPr>
        <w:t>5.4如果甲方在合同期间，使用或侵犯第三方专利或著作权的设备、软件、程序代码等，由此引起的一切后果由甲方承担，乙方不承担任何责任。</w:t>
      </w:r>
    </w:p>
    <w:p>
      <w:pPr>
        <w:spacing w:line="360" w:lineRule="auto"/>
        <w:ind w:firstLine="420" w:firstLineChars="200"/>
        <w:rPr>
          <w:rFonts w:ascii="楷体" w:hAnsi="楷体" w:eastAsia="楷体" w:cs="Calibri"/>
          <w:szCs w:val="21"/>
        </w:rPr>
      </w:pPr>
      <w:r>
        <w:rPr>
          <w:rFonts w:hint="eastAsia" w:ascii="楷体" w:hAnsi="楷体" w:eastAsia="楷体" w:cs="Calibri"/>
          <w:szCs w:val="21"/>
        </w:rPr>
        <w:t>5.5乙方在执行本合同项下服务过程中利用甲方软件、硬件系统等各种IT资源的基础上新开发的软件、产品、流程、系统等的知识产权，归甲方所有。未经甲方同意乙方不能用于第三方的业务。</w:t>
      </w:r>
    </w:p>
    <w:p>
      <w:pPr>
        <w:spacing w:line="360" w:lineRule="auto"/>
        <w:ind w:firstLine="361" w:firstLineChars="150"/>
        <w:rPr>
          <w:rFonts w:ascii="楷体" w:hAnsi="楷体" w:eastAsia="楷体" w:cs="Calibri"/>
          <w:b/>
          <w:sz w:val="24"/>
          <w:szCs w:val="24"/>
        </w:rPr>
      </w:pPr>
      <w:r>
        <w:rPr>
          <w:rFonts w:hint="eastAsia" w:ascii="楷体" w:hAnsi="楷体" w:eastAsia="楷体" w:cs="Calibri"/>
          <w:b/>
          <w:sz w:val="24"/>
          <w:szCs w:val="24"/>
        </w:rPr>
        <w:t>六、保密义务</w:t>
      </w:r>
    </w:p>
    <w:p>
      <w:pPr>
        <w:spacing w:line="360" w:lineRule="auto"/>
        <w:ind w:firstLine="420" w:firstLineChars="200"/>
        <w:rPr>
          <w:rFonts w:ascii="楷体" w:hAnsi="楷体" w:eastAsia="楷体" w:cs="Calibri"/>
          <w:szCs w:val="21"/>
        </w:rPr>
      </w:pPr>
      <w:r>
        <w:rPr>
          <w:rFonts w:hint="eastAsia" w:ascii="楷体" w:hAnsi="楷体" w:eastAsia="楷体" w:cs="Calibri"/>
          <w:szCs w:val="21"/>
        </w:rPr>
        <w:t>6.1乙方不得向乙方内部无关人员及任何第三方泄露双方在执行合同过程中了解到的甲方任何数据、资料、信息等。</w:t>
      </w:r>
    </w:p>
    <w:p>
      <w:pPr>
        <w:spacing w:line="360" w:lineRule="auto"/>
        <w:ind w:firstLine="420" w:firstLineChars="200"/>
        <w:rPr>
          <w:rFonts w:ascii="楷体" w:hAnsi="楷体" w:eastAsia="楷体" w:cs="Calibri"/>
          <w:szCs w:val="21"/>
        </w:rPr>
      </w:pPr>
      <w:r>
        <w:rPr>
          <w:rFonts w:hint="eastAsia" w:ascii="楷体" w:hAnsi="楷体" w:eastAsia="楷体" w:cs="Calibri"/>
          <w:szCs w:val="21"/>
        </w:rPr>
        <w:t>6.2甲乙双方均保证不向内部无关人员及任何第三方透漏本合同任意条款内容。</w:t>
      </w:r>
    </w:p>
    <w:p>
      <w:pPr>
        <w:spacing w:line="360" w:lineRule="auto"/>
        <w:ind w:firstLine="420" w:firstLineChars="200"/>
        <w:rPr>
          <w:rFonts w:ascii="楷体" w:hAnsi="楷体" w:eastAsia="楷体" w:cs="Calibri"/>
          <w:szCs w:val="21"/>
        </w:rPr>
      </w:pPr>
      <w:r>
        <w:rPr>
          <w:rFonts w:hint="eastAsia" w:ascii="楷体" w:hAnsi="楷体" w:eastAsia="楷体" w:cs="Calibri"/>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pPr>
        <w:spacing w:line="360" w:lineRule="auto"/>
        <w:ind w:firstLine="420" w:firstLineChars="200"/>
        <w:rPr>
          <w:rFonts w:ascii="楷体" w:hAnsi="楷体" w:eastAsia="楷体" w:cs="Calibri"/>
          <w:szCs w:val="21"/>
        </w:rPr>
      </w:pPr>
      <w:r>
        <w:rPr>
          <w:rFonts w:hint="eastAsia" w:ascii="楷体" w:hAnsi="楷体" w:eastAsia="楷体" w:cs="Calibri"/>
          <w:szCs w:val="21"/>
        </w:rPr>
        <w:t>6.4保密期限不受本合同期限的限制。在本合同期限届满后，甲乙双方仍负有保密义务，尊重并保证不侵犯对方因本项目获得之成果及其所附的一切权益。</w:t>
      </w:r>
    </w:p>
    <w:p>
      <w:pPr>
        <w:spacing w:line="360" w:lineRule="auto"/>
        <w:ind w:firstLine="361" w:firstLineChars="150"/>
        <w:rPr>
          <w:rFonts w:ascii="楷体" w:hAnsi="楷体" w:eastAsia="楷体" w:cs="Calibri"/>
          <w:b/>
          <w:sz w:val="24"/>
          <w:szCs w:val="21"/>
        </w:rPr>
      </w:pPr>
      <w:r>
        <w:rPr>
          <w:rFonts w:hint="eastAsia" w:ascii="楷体" w:hAnsi="楷体" w:eastAsia="楷体" w:cs="Calibri"/>
          <w:b/>
          <w:sz w:val="24"/>
          <w:szCs w:val="21"/>
        </w:rPr>
        <w:t>七、合同变更</w:t>
      </w:r>
    </w:p>
    <w:p>
      <w:pPr>
        <w:spacing w:line="360" w:lineRule="auto"/>
        <w:ind w:firstLine="420" w:firstLineChars="200"/>
        <w:rPr>
          <w:rFonts w:ascii="楷体" w:hAnsi="楷体" w:eastAsia="楷体" w:cs="Calibri"/>
          <w:szCs w:val="21"/>
        </w:rPr>
      </w:pPr>
      <w:r>
        <w:rPr>
          <w:rFonts w:hint="eastAsia" w:ascii="楷体" w:hAnsi="楷体" w:eastAsia="楷体" w:cs="Calibri"/>
          <w:szCs w:val="21"/>
        </w:rPr>
        <w:t>7.1本合同生效后，如需对本合同条款做增加、删除、修改等变更，须以补充协议书方式进行。该补充协议书经双方法定代表人或其授权人签字并加盖各自单位公章后方可生效。</w:t>
      </w:r>
    </w:p>
    <w:p>
      <w:pPr>
        <w:spacing w:line="360" w:lineRule="auto"/>
        <w:ind w:firstLine="420" w:firstLineChars="200"/>
        <w:rPr>
          <w:rFonts w:ascii="楷体" w:hAnsi="楷体" w:eastAsia="楷体" w:cs="Calibri"/>
          <w:szCs w:val="21"/>
        </w:rPr>
      </w:pPr>
      <w:r>
        <w:rPr>
          <w:rFonts w:hint="eastAsia" w:ascii="楷体" w:hAnsi="楷体" w:eastAsia="楷体" w:cs="Calibri"/>
          <w:szCs w:val="21"/>
        </w:rPr>
        <w:t>7.2 合同的变更、解除不影响守约一方要求损害赔偿的权利。</w:t>
      </w:r>
    </w:p>
    <w:p>
      <w:pPr>
        <w:spacing w:line="360" w:lineRule="auto"/>
        <w:ind w:firstLine="475" w:firstLineChars="197"/>
        <w:rPr>
          <w:rFonts w:ascii="楷体" w:hAnsi="楷体" w:eastAsia="楷体" w:cs="Calibri"/>
          <w:b/>
          <w:sz w:val="24"/>
          <w:szCs w:val="21"/>
        </w:rPr>
      </w:pPr>
      <w:r>
        <w:rPr>
          <w:rFonts w:hint="eastAsia" w:ascii="楷体" w:hAnsi="楷体" w:eastAsia="楷体" w:cs="Calibri"/>
          <w:b/>
          <w:sz w:val="24"/>
          <w:szCs w:val="21"/>
        </w:rPr>
        <w:t>八、违约责任</w:t>
      </w:r>
    </w:p>
    <w:p>
      <w:pPr>
        <w:spacing w:line="360" w:lineRule="auto"/>
        <w:ind w:firstLine="420" w:firstLineChars="200"/>
        <w:rPr>
          <w:rFonts w:ascii="楷体" w:hAnsi="楷体" w:eastAsia="楷体" w:cs="Calibri"/>
          <w:szCs w:val="21"/>
        </w:rPr>
      </w:pPr>
      <w:r>
        <w:rPr>
          <w:rFonts w:hint="eastAsia" w:ascii="楷体" w:hAnsi="楷体" w:eastAsia="楷体" w:cs="Calibri"/>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pPr>
        <w:spacing w:line="360" w:lineRule="auto"/>
        <w:ind w:firstLine="420" w:firstLineChars="200"/>
        <w:rPr>
          <w:rFonts w:ascii="楷体" w:hAnsi="楷体" w:eastAsia="楷体" w:cs="Calibri"/>
          <w:szCs w:val="21"/>
        </w:rPr>
      </w:pPr>
      <w:r>
        <w:rPr>
          <w:rFonts w:hint="eastAsia" w:ascii="楷体" w:hAnsi="楷体" w:eastAsia="楷体" w:cs="Calibri"/>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pPr>
        <w:spacing w:line="360" w:lineRule="auto"/>
        <w:ind w:firstLine="420" w:firstLineChars="200"/>
        <w:rPr>
          <w:rFonts w:ascii="楷体" w:hAnsi="楷体" w:eastAsia="楷体" w:cs="Calibri"/>
          <w:szCs w:val="21"/>
        </w:rPr>
      </w:pPr>
      <w:r>
        <w:rPr>
          <w:rFonts w:hint="eastAsia" w:ascii="楷体" w:hAnsi="楷体" w:eastAsia="楷体" w:cs="Calibri"/>
          <w:szCs w:val="21"/>
        </w:rPr>
        <w:t>8.3 如乙方违反合同保密约定，应当采取有效措施防止该保密信息的泄密范围进一步扩</w:t>
      </w:r>
      <w:r>
        <w:rPr>
          <w:rFonts w:hint="eastAsia" w:ascii="楷体" w:hAnsi="楷体" w:eastAsia="楷体" w:cs="Calibri"/>
          <w:color w:val="000000"/>
          <w:szCs w:val="21"/>
        </w:rPr>
        <w:t>大，同时乙方应按本合同总金额20%向甲方支付违约金。</w:t>
      </w:r>
    </w:p>
    <w:p>
      <w:pPr>
        <w:spacing w:line="360" w:lineRule="auto"/>
        <w:ind w:firstLine="420" w:firstLineChars="200"/>
        <w:rPr>
          <w:rFonts w:ascii="楷体" w:hAnsi="楷体" w:eastAsia="楷体" w:cs="Calibri"/>
          <w:color w:val="000000"/>
          <w:szCs w:val="21"/>
        </w:rPr>
      </w:pPr>
      <w:r>
        <w:rPr>
          <w:rFonts w:hint="eastAsia" w:ascii="楷体" w:hAnsi="楷体" w:eastAsia="楷体" w:cs="Calibri"/>
          <w:szCs w:val="21"/>
        </w:rPr>
        <w:t>8.4</w:t>
      </w:r>
      <w:r>
        <w:rPr>
          <w:rFonts w:hint="eastAsia" w:ascii="楷体" w:hAnsi="楷体" w:eastAsia="楷体" w:cs="Calibri"/>
          <w:color w:val="000000"/>
          <w:szCs w:val="21"/>
        </w:rPr>
        <w:t xml:space="preserve">当乙方因上述违约行为向甲方支付违约金后，不足以弥补甲方损失时，乙方还应赔偿甲方的实际损失。   </w:t>
      </w:r>
    </w:p>
    <w:p>
      <w:pPr>
        <w:spacing w:line="360" w:lineRule="auto"/>
        <w:ind w:firstLine="482" w:firstLineChars="200"/>
        <w:rPr>
          <w:rFonts w:ascii="楷体" w:hAnsi="楷体" w:eastAsia="楷体" w:cs="Calibri"/>
          <w:b/>
          <w:sz w:val="24"/>
          <w:szCs w:val="21"/>
        </w:rPr>
      </w:pPr>
      <w:r>
        <w:rPr>
          <w:rFonts w:hint="eastAsia" w:ascii="楷体" w:hAnsi="楷体" w:eastAsia="楷体" w:cs="Calibri"/>
          <w:b/>
          <w:sz w:val="24"/>
          <w:szCs w:val="21"/>
        </w:rPr>
        <w:t>九、纠纷解决</w:t>
      </w:r>
    </w:p>
    <w:p>
      <w:pPr>
        <w:spacing w:line="360" w:lineRule="auto"/>
        <w:ind w:firstLine="420" w:firstLineChars="200"/>
        <w:rPr>
          <w:rFonts w:ascii="楷体" w:hAnsi="楷体" w:eastAsia="楷体" w:cs="Calibri"/>
          <w:szCs w:val="21"/>
        </w:rPr>
      </w:pPr>
      <w:r>
        <w:rPr>
          <w:rFonts w:hint="eastAsia" w:ascii="楷体" w:hAnsi="楷体" w:eastAsia="楷体" w:cs="Calibri"/>
          <w:szCs w:val="21"/>
        </w:rPr>
        <w:t>双方本着友好协商的态度解决本合同履行过程中产生的任何争议。协商无效的，任何一方均可采取法律程序向本合同履行所在地的北京市西城区人民法院起诉解决纠纷。</w:t>
      </w:r>
    </w:p>
    <w:p>
      <w:pPr>
        <w:spacing w:line="360" w:lineRule="auto"/>
        <w:ind w:firstLine="472" w:firstLineChars="196"/>
        <w:rPr>
          <w:rFonts w:ascii="楷体" w:hAnsi="楷体" w:eastAsia="楷体" w:cs="Calibri"/>
          <w:b/>
          <w:sz w:val="24"/>
          <w:szCs w:val="21"/>
        </w:rPr>
      </w:pPr>
      <w:r>
        <w:rPr>
          <w:rFonts w:hint="eastAsia" w:ascii="楷体" w:hAnsi="楷体" w:eastAsia="楷体" w:cs="Calibri"/>
          <w:b/>
          <w:sz w:val="24"/>
          <w:szCs w:val="21"/>
        </w:rPr>
        <w:t>十、不可抗力</w:t>
      </w:r>
    </w:p>
    <w:p>
      <w:pPr>
        <w:tabs>
          <w:tab w:val="left" w:pos="426"/>
        </w:tabs>
        <w:spacing w:line="360" w:lineRule="auto"/>
        <w:ind w:firstLine="420" w:firstLineChars="200"/>
        <w:rPr>
          <w:rFonts w:ascii="楷体" w:hAnsi="楷体" w:eastAsia="楷体" w:cs="Calibri"/>
          <w:szCs w:val="21"/>
        </w:rPr>
      </w:pPr>
      <w:r>
        <w:rPr>
          <w:rFonts w:hint="eastAsia" w:ascii="楷体" w:hAnsi="楷体" w:eastAsia="楷体" w:cs="Calibri"/>
          <w:szCs w:val="21"/>
        </w:rPr>
        <w:t>10.1 不可抗力包括地震、水灾、台风等重大自然灾害，战争等因素，以及其他不能预见、不能避免且不能克服等因素。</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10.2 任何一方由于受不可抗力影响而无法正常履行本合同相关条款的，可免予承担相关法律责任。</w:t>
      </w:r>
    </w:p>
    <w:p>
      <w:pPr>
        <w:spacing w:line="360" w:lineRule="auto"/>
        <w:ind w:firstLine="359" w:firstLineChars="149"/>
        <w:rPr>
          <w:rFonts w:ascii="楷体" w:hAnsi="楷体" w:eastAsia="楷体" w:cs="Calibri"/>
          <w:b/>
          <w:sz w:val="24"/>
          <w:szCs w:val="21"/>
        </w:rPr>
      </w:pPr>
      <w:r>
        <w:rPr>
          <w:rFonts w:hint="eastAsia" w:ascii="楷体" w:hAnsi="楷体" w:eastAsia="楷体" w:cs="Calibri"/>
          <w:b/>
          <w:sz w:val="24"/>
          <w:szCs w:val="21"/>
        </w:rPr>
        <w:t>十一、其他约定</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11.1 本合同须经</w:t>
      </w:r>
      <w:r>
        <w:rPr>
          <w:rFonts w:hint="eastAsia" w:ascii="楷体" w:hAnsi="楷体" w:eastAsia="楷体" w:cs="Calibri"/>
          <w:sz w:val="22"/>
          <w:szCs w:val="21"/>
        </w:rPr>
        <w:t>法定代表人或委托代理人签字</w:t>
      </w:r>
      <w:r>
        <w:rPr>
          <w:rFonts w:hint="eastAsia" w:ascii="楷体" w:hAnsi="楷体" w:eastAsia="楷体" w:cs="Calibri"/>
          <w:szCs w:val="21"/>
        </w:rPr>
        <w:t>并加盖各自单位公章后方可生效。</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11.2 本合同壹式</w:t>
      </w:r>
      <w:r>
        <w:rPr>
          <w:rFonts w:hint="eastAsia" w:ascii="楷体" w:hAnsi="楷体" w:eastAsia="楷体" w:cs="Calibri"/>
          <w:szCs w:val="21"/>
          <w:u w:val="single"/>
        </w:rPr>
        <w:t xml:space="preserve">   肆   </w:t>
      </w:r>
      <w:r>
        <w:rPr>
          <w:rFonts w:hint="eastAsia" w:ascii="楷体" w:hAnsi="楷体" w:eastAsia="楷体" w:cs="Calibri"/>
          <w:szCs w:val="21"/>
        </w:rPr>
        <w:t>份，甲方执</w:t>
      </w:r>
      <w:r>
        <w:rPr>
          <w:rFonts w:hint="eastAsia" w:ascii="楷体" w:hAnsi="楷体" w:eastAsia="楷体" w:cs="Calibri"/>
          <w:szCs w:val="21"/>
          <w:u w:val="single"/>
        </w:rPr>
        <w:t xml:space="preserve">  叁  </w:t>
      </w:r>
      <w:r>
        <w:rPr>
          <w:rFonts w:hint="eastAsia" w:ascii="楷体" w:hAnsi="楷体" w:eastAsia="楷体" w:cs="Calibri"/>
          <w:szCs w:val="21"/>
        </w:rPr>
        <w:t>份，乙方执</w:t>
      </w:r>
      <w:r>
        <w:rPr>
          <w:rFonts w:hint="eastAsia" w:ascii="楷体" w:hAnsi="楷体" w:eastAsia="楷体" w:cs="Calibri"/>
          <w:szCs w:val="21"/>
          <w:u w:val="single"/>
        </w:rPr>
        <w:t xml:space="preserve"> 壹 </w:t>
      </w:r>
      <w:r>
        <w:rPr>
          <w:rFonts w:hint="eastAsia" w:ascii="楷体" w:hAnsi="楷体" w:eastAsia="楷体" w:cs="Calibri"/>
          <w:szCs w:val="21"/>
        </w:rPr>
        <w:t>份，均具有同等法律效力。</w:t>
      </w:r>
    </w:p>
    <w:p>
      <w:pPr>
        <w:spacing w:line="360" w:lineRule="auto"/>
        <w:ind w:firstLine="359" w:firstLineChars="149"/>
        <w:rPr>
          <w:rFonts w:ascii="楷体" w:hAnsi="楷体" w:eastAsia="楷体" w:cs="Calibri"/>
          <w:b/>
          <w:sz w:val="24"/>
          <w:szCs w:val="21"/>
        </w:rPr>
      </w:pPr>
      <w:r>
        <w:rPr>
          <w:rFonts w:hint="eastAsia" w:ascii="楷体" w:hAnsi="楷体" w:eastAsia="楷体" w:cs="Calibri"/>
          <w:b/>
          <w:sz w:val="24"/>
          <w:szCs w:val="21"/>
        </w:rPr>
        <w:t>十二、合同终止</w:t>
      </w:r>
    </w:p>
    <w:p>
      <w:pPr>
        <w:spacing w:line="360" w:lineRule="auto"/>
        <w:ind w:firstLine="420" w:firstLineChars="200"/>
        <w:rPr>
          <w:rFonts w:ascii="楷体" w:hAnsi="楷体" w:eastAsia="楷体" w:cs="Calibri"/>
          <w:szCs w:val="21"/>
        </w:rPr>
      </w:pPr>
      <w:r>
        <w:rPr>
          <w:rFonts w:hint="eastAsia" w:ascii="楷体" w:hAnsi="楷体" w:eastAsia="楷体" w:cs="Calibri"/>
          <w:szCs w:val="21"/>
        </w:rPr>
        <w:t xml:space="preserve">12.1 </w:t>
      </w:r>
      <w:r>
        <w:rPr>
          <w:rFonts w:hint="eastAsia" w:ascii="楷体" w:hAnsi="楷体" w:eastAsia="楷体" w:cs="Calibri"/>
          <w:kern w:val="0"/>
          <w:szCs w:val="21"/>
        </w:rPr>
        <w:t>合同期限</w:t>
      </w:r>
      <w:r>
        <w:rPr>
          <w:rFonts w:hint="eastAsia" w:ascii="楷体" w:hAnsi="楷体" w:eastAsia="楷体" w:cs="Calibri"/>
          <w:szCs w:val="21"/>
        </w:rPr>
        <w:t>届满，该合同自动终止。</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12.2 乙方歇业、被吊销营业执照或被人民法院裁定宣告进入破产还债程序的，可书面通知甲方解除本合同。但必须提前一个月书面通知甲方。</w:t>
      </w:r>
    </w:p>
    <w:p>
      <w:pPr>
        <w:spacing w:line="360" w:lineRule="auto"/>
        <w:ind w:firstLine="420" w:firstLineChars="200"/>
        <w:rPr>
          <w:rFonts w:ascii="楷体" w:hAnsi="楷体" w:eastAsia="楷体" w:cs="Calibri"/>
          <w:szCs w:val="21"/>
        </w:rPr>
      </w:pPr>
      <w:r>
        <w:rPr>
          <w:rFonts w:hint="eastAsia" w:ascii="楷体" w:hAnsi="楷体" w:eastAsia="楷体" w:cs="Calibri"/>
          <w:szCs w:val="21"/>
        </w:rPr>
        <w:t>12.3任何一方违约，在7日之内未采取有效改正措施的，守约方可书面通知违约方解除合同。</w:t>
      </w:r>
    </w:p>
    <w:p>
      <w:pPr>
        <w:spacing w:line="360" w:lineRule="auto"/>
        <w:ind w:firstLine="359" w:firstLineChars="171"/>
        <w:rPr>
          <w:rFonts w:ascii="楷体" w:hAnsi="楷体" w:eastAsia="楷体" w:cs="Calibri"/>
          <w:szCs w:val="21"/>
        </w:rPr>
      </w:pPr>
      <w:r>
        <w:rPr>
          <w:rFonts w:hint="eastAsia" w:ascii="楷体" w:hAnsi="楷体" w:eastAsia="楷体" w:cs="Calibri"/>
          <w:szCs w:val="21"/>
        </w:rPr>
        <w:t>12.4 本合同的变更、解除、终止不影响守约一方根据本合同之约定要求违约一方给予损害赔偿、支付应付款项、追究违约责任的权利。</w:t>
      </w:r>
    </w:p>
    <w:p>
      <w:pPr>
        <w:spacing w:line="360" w:lineRule="auto"/>
        <w:ind w:firstLine="359" w:firstLineChars="149"/>
        <w:rPr>
          <w:rFonts w:ascii="楷体" w:hAnsi="楷体" w:eastAsia="楷体" w:cs="Calibri"/>
          <w:b/>
          <w:sz w:val="24"/>
          <w:szCs w:val="21"/>
        </w:rPr>
      </w:pPr>
      <w:r>
        <w:rPr>
          <w:rFonts w:hint="eastAsia" w:ascii="楷体" w:hAnsi="楷体" w:eastAsia="楷体" w:cs="Calibri"/>
          <w:b/>
          <w:sz w:val="24"/>
          <w:szCs w:val="21"/>
        </w:rPr>
        <w:t>十三、附则</w:t>
      </w:r>
    </w:p>
    <w:p>
      <w:pPr>
        <w:spacing w:line="360" w:lineRule="auto"/>
        <w:ind w:firstLine="359" w:firstLineChars="171"/>
        <w:rPr>
          <w:rFonts w:ascii="楷体" w:hAnsi="楷体" w:eastAsia="楷体" w:cs="Calibri"/>
          <w:szCs w:val="21"/>
        </w:rPr>
      </w:pPr>
      <w:r>
        <w:rPr>
          <w:rFonts w:hint="eastAsia" w:ascii="楷体" w:hAnsi="楷体" w:eastAsia="楷体" w:cs="Calibri"/>
          <w:szCs w:val="21"/>
        </w:rPr>
        <w:t>13.1 乙方人员不得以任何形式对甲方人员进行商业贿赂。</w:t>
      </w:r>
    </w:p>
    <w:p>
      <w:pPr>
        <w:spacing w:line="360" w:lineRule="auto"/>
        <w:ind w:firstLine="359" w:firstLineChars="171"/>
        <w:rPr>
          <w:rFonts w:ascii="楷体" w:hAnsi="楷体" w:eastAsia="楷体" w:cs="Calibri"/>
          <w:szCs w:val="21"/>
        </w:rPr>
      </w:pPr>
      <w:r>
        <w:rPr>
          <w:rFonts w:hint="eastAsia" w:ascii="楷体" w:hAnsi="楷体" w:eastAsia="楷体" w:cs="Calibri"/>
          <w:szCs w:val="21"/>
        </w:rPr>
        <w:t>13.2 本合同生效后，在</w:t>
      </w:r>
      <w:r>
        <w:rPr>
          <w:rFonts w:hint="eastAsia" w:ascii="楷体" w:hAnsi="楷体" w:eastAsia="楷体" w:cs="Calibri"/>
          <w:kern w:val="0"/>
          <w:szCs w:val="21"/>
        </w:rPr>
        <w:t>合同期限</w:t>
      </w:r>
      <w:r>
        <w:rPr>
          <w:rFonts w:hint="eastAsia" w:ascii="楷体" w:hAnsi="楷体" w:eastAsia="楷体" w:cs="Calibri"/>
          <w:szCs w:val="21"/>
        </w:rPr>
        <w:t>内，除非双方授权代表书面确认，任何一方不得擅自变更本合同内容或将本合同项下权利义务全部或部分转让给其他任何第三方。</w:t>
      </w:r>
    </w:p>
    <w:p>
      <w:pPr>
        <w:spacing w:line="360" w:lineRule="auto"/>
        <w:ind w:firstLine="407" w:firstLineChars="194"/>
        <w:rPr>
          <w:rFonts w:ascii="楷体" w:hAnsi="楷体" w:eastAsia="楷体" w:cs="Calibri"/>
          <w:szCs w:val="21"/>
        </w:rPr>
      </w:pPr>
      <w:r>
        <w:rPr>
          <w:rFonts w:hint="eastAsia" w:ascii="楷体" w:hAnsi="楷体" w:eastAsia="楷体" w:cs="Calibri"/>
          <w:szCs w:val="21"/>
        </w:rPr>
        <w:t>13.3 附件XXXXXXX为本合同的组成部分，与本合同具有同等效力。</w:t>
      </w:r>
    </w:p>
    <w:p>
      <w:pPr>
        <w:spacing w:line="360" w:lineRule="auto"/>
        <w:ind w:firstLine="435"/>
        <w:rPr>
          <w:rFonts w:ascii="楷体" w:hAnsi="楷体" w:eastAsia="楷体" w:cs="Calibri"/>
          <w:sz w:val="22"/>
          <w:szCs w:val="21"/>
        </w:rPr>
      </w:pPr>
    </w:p>
    <w:p>
      <w:pPr>
        <w:spacing w:line="360" w:lineRule="auto"/>
        <w:ind w:firstLine="435"/>
        <w:rPr>
          <w:rFonts w:ascii="楷体" w:hAnsi="楷体" w:eastAsia="楷体" w:cs="Calibri"/>
          <w:sz w:val="22"/>
          <w:szCs w:val="21"/>
        </w:rPr>
      </w:pPr>
    </w:p>
    <w:p>
      <w:pPr>
        <w:spacing w:line="360" w:lineRule="auto"/>
        <w:ind w:firstLine="435"/>
        <w:rPr>
          <w:rFonts w:ascii="楷体" w:hAnsi="楷体" w:eastAsia="楷体" w:cs="Calibri"/>
          <w:sz w:val="22"/>
          <w:szCs w:val="21"/>
        </w:rPr>
      </w:pPr>
      <w:r>
        <w:rPr>
          <w:rFonts w:hint="eastAsia" w:ascii="楷体" w:hAnsi="楷体" w:eastAsia="楷体" w:cs="Calibri"/>
          <w:sz w:val="22"/>
          <w:szCs w:val="21"/>
        </w:rPr>
        <w:t xml:space="preserve">    </w:t>
      </w:r>
    </w:p>
    <w:p>
      <w:pPr>
        <w:spacing w:line="360" w:lineRule="auto"/>
        <w:rPr>
          <w:rFonts w:ascii="楷体" w:hAnsi="楷体" w:eastAsia="楷体" w:cs="Calibri"/>
          <w:sz w:val="22"/>
          <w:szCs w:val="21"/>
        </w:rPr>
      </w:pPr>
      <w:r>
        <w:rPr>
          <w:rFonts w:hint="eastAsia" w:ascii="楷体" w:hAnsi="楷体" w:eastAsia="楷体" w:cs="Calibri"/>
          <w:sz w:val="22"/>
          <w:szCs w:val="21"/>
        </w:rPr>
        <w:t xml:space="preserve">甲方(盖章)：北京大学人民医院                乙方（盖章)：       </w:t>
      </w:r>
    </w:p>
    <w:p>
      <w:pPr>
        <w:spacing w:line="360" w:lineRule="auto"/>
        <w:rPr>
          <w:rFonts w:ascii="楷体" w:hAnsi="楷体" w:eastAsia="楷体" w:cs="Calibri"/>
          <w:sz w:val="22"/>
          <w:szCs w:val="21"/>
        </w:rPr>
      </w:pPr>
    </w:p>
    <w:p>
      <w:pPr>
        <w:spacing w:line="360" w:lineRule="auto"/>
        <w:rPr>
          <w:rFonts w:ascii="楷体" w:hAnsi="楷体" w:eastAsia="楷体" w:cs="Calibri"/>
          <w:sz w:val="22"/>
          <w:szCs w:val="21"/>
        </w:rPr>
      </w:pPr>
      <w:r>
        <w:rPr>
          <w:rFonts w:hint="eastAsia" w:ascii="楷体" w:hAnsi="楷体" w:eastAsia="楷体" w:cs="Calibri"/>
          <w:sz w:val="22"/>
          <w:szCs w:val="21"/>
        </w:rPr>
        <w:t>法定代表人或委托代理人(签字):               法定代表人或委托代理人(签字):</w:t>
      </w:r>
    </w:p>
    <w:p>
      <w:pPr>
        <w:spacing w:line="360" w:lineRule="auto"/>
        <w:rPr>
          <w:rFonts w:ascii="楷体" w:hAnsi="楷体" w:eastAsia="楷体" w:cs="Calibri"/>
          <w:sz w:val="22"/>
          <w:szCs w:val="21"/>
        </w:rPr>
      </w:pPr>
    </w:p>
    <w:p>
      <w:pPr>
        <w:spacing w:line="360" w:lineRule="auto"/>
        <w:rPr>
          <w:rFonts w:ascii="楷体" w:hAnsi="楷体" w:eastAsia="楷体" w:cs="Calibri"/>
          <w:sz w:val="22"/>
          <w:szCs w:val="21"/>
        </w:rPr>
      </w:pPr>
      <w:r>
        <w:rPr>
          <w:rFonts w:hint="eastAsia" w:ascii="楷体" w:hAnsi="楷体" w:eastAsia="楷体" w:cs="Calibri"/>
          <w:sz w:val="22"/>
          <w:szCs w:val="21"/>
        </w:rPr>
        <w:t>地址：北京市西城区西直门南大街11号         地址：</w:t>
      </w:r>
    </w:p>
    <w:p>
      <w:pPr>
        <w:spacing w:line="360" w:lineRule="auto"/>
        <w:rPr>
          <w:rFonts w:ascii="楷体" w:hAnsi="楷体" w:eastAsia="楷体" w:cs="Calibri"/>
          <w:sz w:val="22"/>
          <w:szCs w:val="21"/>
        </w:rPr>
      </w:pPr>
    </w:p>
    <w:p>
      <w:pPr>
        <w:spacing w:line="360" w:lineRule="auto"/>
        <w:jc w:val="left"/>
        <w:rPr>
          <w:rFonts w:ascii="Calibri" w:hAnsi="Calibri" w:cs="Calibri"/>
          <w:szCs w:val="21"/>
        </w:rPr>
      </w:pPr>
      <w:r>
        <w:rPr>
          <w:rFonts w:hint="eastAsia" w:ascii="楷体" w:hAnsi="楷体" w:eastAsia="楷体" w:cs="Calibri"/>
          <w:sz w:val="22"/>
          <w:szCs w:val="21"/>
        </w:rPr>
        <w:t>日期:                                       日期：</w:t>
      </w:r>
    </w:p>
    <w:p>
      <w:pPr>
        <w:pStyle w:val="20"/>
        <w:widowControl w:val="0"/>
        <w:spacing w:line="360" w:lineRule="auto"/>
        <w:rPr>
          <w:kern w:val="2"/>
          <w:sz w:val="21"/>
          <w:szCs w:val="21"/>
        </w:rPr>
      </w:pPr>
    </w:p>
    <w:p>
      <w:pPr>
        <w:pStyle w:val="20"/>
        <w:widowControl w:val="0"/>
        <w:spacing w:line="360" w:lineRule="auto"/>
        <w:rPr>
          <w:kern w:val="2"/>
          <w:sz w:val="21"/>
          <w:szCs w:val="21"/>
        </w:rPr>
      </w:pPr>
    </w:p>
    <w:p>
      <w:pPr>
        <w:pStyle w:val="20"/>
        <w:widowControl w:val="0"/>
        <w:spacing w:line="360" w:lineRule="auto"/>
        <w:rPr>
          <w:rFonts w:ascii="Times New Roman"/>
          <w:bCs/>
          <w:color w:val="000000"/>
          <w:kern w:val="2"/>
          <w:sz w:val="21"/>
          <w:szCs w:val="21"/>
        </w:rPr>
      </w:pPr>
      <w:r>
        <w:rPr>
          <w:rFonts w:hint="eastAsia"/>
          <w:kern w:val="2"/>
          <w:sz w:val="21"/>
          <w:szCs w:val="21"/>
        </w:rPr>
        <w:t>项目廉政责任书</w:t>
      </w:r>
    </w:p>
    <w:p>
      <w:pPr>
        <w:spacing w:line="360" w:lineRule="auto"/>
        <w:ind w:left="-178" w:leftChars="-85" w:firstLine="480"/>
        <w:rPr>
          <w:rFonts w:ascii="宋体" w:hAnsi="宋体"/>
          <w:szCs w:val="21"/>
          <w:u w:val="single"/>
        </w:rPr>
      </w:pPr>
      <w:r>
        <w:rPr>
          <w:rFonts w:hint="eastAsia" w:ascii="宋体" w:hAnsi="宋体"/>
          <w:szCs w:val="21"/>
        </w:rPr>
        <w:t>项目名称：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spacing w:line="360" w:lineRule="auto"/>
        <w:ind w:left="-178" w:leftChars="-85" w:firstLine="480"/>
        <w:rPr>
          <w:rFonts w:ascii="宋体" w:hAnsi="宋体"/>
          <w:szCs w:val="21"/>
          <w:u w:val="single"/>
        </w:rPr>
      </w:pPr>
      <w:r>
        <w:rPr>
          <w:rFonts w:hint="eastAsia" w:ascii="宋体" w:hAnsi="宋体"/>
          <w:szCs w:val="21"/>
        </w:rPr>
        <w:t>项目地址：</w:t>
      </w:r>
      <w:r>
        <w:rPr>
          <w:rFonts w:hint="eastAsia" w:ascii="宋体" w:hAnsi="宋体"/>
          <w:szCs w:val="21"/>
          <w:u w:val="single"/>
        </w:rPr>
        <w:t>北京</w:t>
      </w:r>
      <w:r>
        <w:rPr>
          <w:rFonts w:ascii="宋体" w:hAnsi="宋体"/>
          <w:szCs w:val="21"/>
          <w:u w:val="single"/>
        </w:rPr>
        <w:t>大学人民医院</w:t>
      </w:r>
      <w:r>
        <w:rPr>
          <w:rFonts w:hint="eastAsia" w:ascii="宋体" w:hAnsi="宋体"/>
          <w:szCs w:val="21"/>
          <w:u w:val="single"/>
        </w:rPr>
        <w:t xml:space="preserve">       </w:t>
      </w:r>
    </w:p>
    <w:p>
      <w:pPr>
        <w:spacing w:line="360" w:lineRule="auto"/>
        <w:ind w:left="-178" w:leftChars="-85" w:firstLine="480"/>
        <w:rPr>
          <w:rFonts w:ascii="宋体" w:hAnsi="宋体"/>
          <w:szCs w:val="21"/>
          <w:u w:val="single"/>
        </w:rPr>
      </w:pPr>
      <w:r>
        <w:rPr>
          <w:rFonts w:hint="eastAsia" w:ascii="宋体" w:hAnsi="宋体"/>
          <w:szCs w:val="21"/>
        </w:rPr>
        <w:t>甲    方：</w:t>
      </w:r>
      <w:r>
        <w:rPr>
          <w:rFonts w:hint="eastAsia" w:ascii="宋体" w:hAnsi="宋体"/>
          <w:szCs w:val="21"/>
          <w:u w:val="single"/>
        </w:rPr>
        <w:t xml:space="preserve">北京大学人民医院          </w:t>
      </w:r>
    </w:p>
    <w:p>
      <w:pPr>
        <w:spacing w:line="360" w:lineRule="auto"/>
        <w:ind w:left="-178" w:leftChars="-85" w:firstLine="480"/>
        <w:rPr>
          <w:rFonts w:ascii="宋体" w:hAnsi="宋体"/>
          <w:szCs w:val="21"/>
          <w:u w:val="single"/>
        </w:rPr>
      </w:pPr>
      <w:r>
        <w:rPr>
          <w:rFonts w:hint="eastAsia" w:ascii="宋体" w:hAnsi="宋体"/>
          <w:szCs w:val="21"/>
        </w:rPr>
        <w:t>乙    方：</w:t>
      </w:r>
      <w:r>
        <w:rPr>
          <w:rFonts w:hint="eastAsia" w:ascii="宋体" w:hAnsi="宋体"/>
          <w:szCs w:val="21"/>
          <w:u w:val="single"/>
        </w:rPr>
        <w:t xml:space="preserve">                          </w:t>
      </w:r>
    </w:p>
    <w:p>
      <w:pPr>
        <w:spacing w:line="360" w:lineRule="auto"/>
        <w:ind w:left="-178" w:leftChars="-85" w:firstLine="480"/>
        <w:rPr>
          <w:rFonts w:ascii="宋体" w:hAnsi="宋体"/>
          <w:szCs w:val="21"/>
        </w:rPr>
      </w:pPr>
      <w:r>
        <w:rPr>
          <w:rFonts w:hint="eastAsia" w:ascii="黑体" w:hAnsi="宋体" w:eastAsia="黑体"/>
          <w:szCs w:val="21"/>
        </w:rPr>
        <w:t>　第一条　</w:t>
      </w:r>
      <w:r>
        <w:rPr>
          <w:rFonts w:hint="eastAsia" w:ascii="宋体" w:hAnsi="宋体"/>
          <w:szCs w:val="21"/>
        </w:rPr>
        <w:t>甲乙双方的责任</w:t>
      </w:r>
    </w:p>
    <w:p>
      <w:pPr>
        <w:spacing w:line="360" w:lineRule="auto"/>
        <w:rPr>
          <w:rFonts w:ascii="宋体" w:hAnsi="宋体"/>
          <w:szCs w:val="21"/>
        </w:rPr>
      </w:pPr>
      <w:r>
        <w:rPr>
          <w:rFonts w:hint="eastAsia" w:ascii="宋体" w:hAnsi="宋体"/>
          <w:szCs w:val="21"/>
        </w:rPr>
        <w:t>　　(一)　应严格遵守国家关于市场准入、项目招标投标和市场活动等有关法律、法规，相关政策，以及廉政建设的各项规定。</w:t>
      </w:r>
    </w:p>
    <w:p>
      <w:pPr>
        <w:spacing w:line="360" w:lineRule="auto"/>
        <w:rPr>
          <w:rFonts w:ascii="宋体" w:hAnsi="宋体"/>
          <w:szCs w:val="21"/>
        </w:rPr>
      </w:pPr>
      <w:r>
        <w:rPr>
          <w:rFonts w:hint="eastAsia" w:ascii="宋体" w:hAnsi="宋体"/>
          <w:szCs w:val="21"/>
        </w:rPr>
        <w:t>　　(二)　严格执行项目合同文件，自觉按合同办事。</w:t>
      </w:r>
    </w:p>
    <w:p>
      <w:pPr>
        <w:spacing w:line="360" w:lineRule="auto"/>
        <w:ind w:firstLine="480"/>
        <w:rPr>
          <w:rFonts w:ascii="宋体" w:hAnsi="宋体"/>
          <w:szCs w:val="21"/>
        </w:rPr>
      </w:pPr>
      <w:r>
        <w:rPr>
          <w:rFonts w:hint="eastAsia" w:ascii="宋体" w:hAnsi="宋体"/>
          <w:szCs w:val="21"/>
        </w:rPr>
        <w:t>(三)　业务活动必须坚持公开、公平、公正、诚信、透明的原则（除法律法规另有规定者外），不得为获取不正当的利益，损害国家、集体和对方利益。</w:t>
      </w:r>
    </w:p>
    <w:p>
      <w:pPr>
        <w:spacing w:line="360" w:lineRule="auto"/>
        <w:ind w:firstLine="480"/>
        <w:rPr>
          <w:rFonts w:ascii="宋体" w:hAnsi="宋体"/>
          <w:szCs w:val="21"/>
        </w:rPr>
      </w:pPr>
      <w:r>
        <w:rPr>
          <w:rFonts w:hint="eastAsia" w:ascii="宋体" w:hAnsi="宋体"/>
          <w:szCs w:val="21"/>
        </w:rPr>
        <w:t>(四)　发现对方在业务活动中有违规、违纪、违法行为的，应及时提醒对方，情节严重的，应向其上级主管部门或纪检监察、司法等有关机关举报。</w:t>
      </w:r>
    </w:p>
    <w:p>
      <w:pPr>
        <w:spacing w:line="360" w:lineRule="auto"/>
        <w:ind w:firstLine="420"/>
        <w:rPr>
          <w:rFonts w:ascii="宋体" w:hAnsi="宋体"/>
          <w:szCs w:val="21"/>
        </w:rPr>
      </w:pPr>
      <w:r>
        <w:rPr>
          <w:rFonts w:hint="eastAsia" w:ascii="黑体" w:hAnsi="宋体" w:eastAsia="黑体"/>
          <w:szCs w:val="21"/>
        </w:rPr>
        <w:t>第二条　</w:t>
      </w:r>
      <w:r>
        <w:rPr>
          <w:rFonts w:hint="eastAsia" w:ascii="宋体" w:hAnsi="宋体"/>
          <w:szCs w:val="21"/>
        </w:rPr>
        <w:t>甲方的责任</w:t>
      </w:r>
    </w:p>
    <w:p>
      <w:pPr>
        <w:spacing w:line="360" w:lineRule="auto"/>
        <w:ind w:firstLine="420"/>
        <w:rPr>
          <w:rFonts w:ascii="宋体" w:hAnsi="宋体"/>
          <w:szCs w:val="21"/>
        </w:rPr>
      </w:pPr>
      <w:r>
        <w:rPr>
          <w:rFonts w:hint="eastAsia" w:ascii="宋体" w:hAnsi="宋体"/>
          <w:szCs w:val="21"/>
        </w:rPr>
        <w:t>甲方的领导和负责该项目招标的工作人员，在项目开展的事前、事中、事后应遵守以下规定：</w:t>
      </w:r>
    </w:p>
    <w:p>
      <w:pPr>
        <w:spacing w:line="360" w:lineRule="auto"/>
        <w:rPr>
          <w:rFonts w:ascii="宋体" w:hAnsi="宋体"/>
          <w:szCs w:val="21"/>
        </w:rPr>
      </w:pPr>
      <w:r>
        <w:rPr>
          <w:rFonts w:hint="eastAsia" w:ascii="宋体" w:hAnsi="宋体"/>
          <w:szCs w:val="21"/>
        </w:rPr>
        <w:t>　　(一)　不准向乙方和相关单位索要或接受回扣、礼金、有价证券、贵重物品和好处费、感谢费等。</w:t>
      </w:r>
    </w:p>
    <w:p>
      <w:pPr>
        <w:spacing w:line="360" w:lineRule="auto"/>
        <w:ind w:firstLine="420"/>
        <w:rPr>
          <w:rFonts w:ascii="宋体" w:hAnsi="宋体"/>
          <w:szCs w:val="21"/>
        </w:rPr>
      </w:pPr>
      <w:r>
        <w:rPr>
          <w:rFonts w:hint="eastAsia" w:ascii="宋体" w:hAnsi="宋体"/>
          <w:szCs w:val="21"/>
        </w:rPr>
        <w:t>(二)　不准在乙方和相关单位报销任何应由甲方或个人支付的费用。</w:t>
      </w:r>
    </w:p>
    <w:p>
      <w:pPr>
        <w:spacing w:line="360" w:lineRule="auto"/>
        <w:ind w:firstLine="410"/>
        <w:rPr>
          <w:rFonts w:ascii="宋体" w:hAnsi="宋体"/>
          <w:szCs w:val="21"/>
        </w:rPr>
      </w:pPr>
      <w:r>
        <w:rPr>
          <w:rFonts w:hint="eastAsia" w:ascii="宋体" w:hAnsi="宋体"/>
          <w:szCs w:val="21"/>
        </w:rPr>
        <w:t>(三)　不准要求、暗示或接受乙方和相关单位为个人装修住房、婚丧嫁娶、配偶子女的工作安排以及出国（境）、旅游等提供方便。</w:t>
      </w:r>
    </w:p>
    <w:p>
      <w:pPr>
        <w:spacing w:line="360" w:lineRule="auto"/>
        <w:rPr>
          <w:rFonts w:ascii="宋体" w:hAnsi="宋体"/>
          <w:szCs w:val="21"/>
        </w:rPr>
      </w:pPr>
      <w:r>
        <w:rPr>
          <w:rFonts w:hint="eastAsia" w:ascii="宋体" w:hAnsi="宋体"/>
          <w:szCs w:val="21"/>
        </w:rPr>
        <w:t>　　(四)　不准参加有可能影响公正执行公务的乙方和相关单位的宴请和健身、娱乐等活动。</w:t>
      </w:r>
    </w:p>
    <w:p>
      <w:pPr>
        <w:spacing w:line="360" w:lineRule="auto"/>
        <w:ind w:firstLine="480"/>
        <w:rPr>
          <w:rFonts w:ascii="宋体" w:hAnsi="宋体"/>
          <w:szCs w:val="21"/>
        </w:rPr>
      </w:pPr>
      <w:r>
        <w:rPr>
          <w:rFonts w:hint="eastAsia" w:ascii="宋体" w:hAnsi="宋体"/>
          <w:szCs w:val="21"/>
        </w:rPr>
        <w:t>(五)　不准向乙方介绍或为配偶、子女、亲属参与同甲方项目合同中相关经济活动。不得以任何理由向乙方和相关单位推荐分包单位和要求乙方购买项目工程施工合同规定以外的材料、设备等。</w:t>
      </w:r>
    </w:p>
    <w:p>
      <w:pPr>
        <w:spacing w:line="360" w:lineRule="auto"/>
        <w:ind w:firstLine="480"/>
        <w:rPr>
          <w:rFonts w:ascii="宋体" w:hAnsi="宋体"/>
          <w:szCs w:val="21"/>
        </w:rPr>
      </w:pPr>
      <w:r>
        <w:rPr>
          <w:rFonts w:hint="eastAsia" w:ascii="黑体" w:hAnsi="宋体" w:eastAsia="黑体"/>
          <w:szCs w:val="21"/>
        </w:rPr>
        <w:t>第三条　</w:t>
      </w:r>
      <w:r>
        <w:rPr>
          <w:rFonts w:hint="eastAsia" w:ascii="宋体" w:hAnsi="宋体"/>
          <w:szCs w:val="21"/>
        </w:rPr>
        <w:t>乙方的责任</w:t>
      </w:r>
    </w:p>
    <w:p>
      <w:pPr>
        <w:spacing w:line="360" w:lineRule="auto"/>
        <w:rPr>
          <w:rFonts w:ascii="宋体" w:hAnsi="宋体"/>
          <w:szCs w:val="21"/>
        </w:rPr>
      </w:pPr>
      <w:r>
        <w:rPr>
          <w:rFonts w:hint="eastAsia" w:ascii="宋体" w:hAnsi="宋体"/>
          <w:szCs w:val="21"/>
        </w:rPr>
        <w:t>　　应与甲方保持正常的业务交往，按照有关法律法规和程序开展业务工作，严格遵守以下规定：</w:t>
      </w:r>
    </w:p>
    <w:p>
      <w:pPr>
        <w:spacing w:line="360" w:lineRule="auto"/>
        <w:rPr>
          <w:rFonts w:ascii="宋体" w:hAnsi="宋体"/>
          <w:szCs w:val="21"/>
        </w:rPr>
      </w:pPr>
      <w:r>
        <w:rPr>
          <w:rFonts w:hint="eastAsia" w:ascii="宋体" w:hAnsi="宋体"/>
          <w:szCs w:val="21"/>
        </w:rPr>
        <w:t>　　(一)　不准以任何理由向甲方、相关单位及其工作人员索要、接受或赠送礼金、有价证券、贵重物品和回扣、好处费、感谢费等。</w:t>
      </w:r>
    </w:p>
    <w:p>
      <w:pPr>
        <w:spacing w:line="360" w:lineRule="auto"/>
        <w:rPr>
          <w:rFonts w:ascii="宋体" w:hAnsi="宋体"/>
          <w:szCs w:val="21"/>
        </w:rPr>
      </w:pPr>
      <w:r>
        <w:rPr>
          <w:rFonts w:hint="eastAsia" w:ascii="宋体" w:hAnsi="宋体"/>
          <w:szCs w:val="21"/>
        </w:rPr>
        <w:t>　　(二)　不准以任何理由为甲方和相关单位报销应由对方或个人支付的费用。</w:t>
      </w:r>
    </w:p>
    <w:p>
      <w:pPr>
        <w:spacing w:line="360" w:lineRule="auto"/>
        <w:rPr>
          <w:rFonts w:ascii="宋体" w:hAnsi="宋体"/>
          <w:szCs w:val="21"/>
        </w:rPr>
      </w:pPr>
      <w:r>
        <w:rPr>
          <w:rFonts w:hint="eastAsia" w:ascii="宋体" w:hAnsi="宋体"/>
          <w:szCs w:val="21"/>
        </w:rPr>
        <w:t>　　(三)　不准接受或暗示为甲方、相关单位或个人装修住房、婚丧嫁娶、配偶子女的工作安排以及出国（境）、旅游等提供方便。</w:t>
      </w:r>
    </w:p>
    <w:p>
      <w:pPr>
        <w:spacing w:line="360" w:lineRule="auto"/>
        <w:ind w:firstLine="480"/>
        <w:rPr>
          <w:rFonts w:ascii="宋体" w:hAnsi="宋体"/>
          <w:szCs w:val="21"/>
        </w:rPr>
      </w:pPr>
      <w:r>
        <w:rPr>
          <w:rFonts w:hint="eastAsia" w:ascii="宋体" w:hAnsi="宋体"/>
          <w:szCs w:val="21"/>
        </w:rPr>
        <w:t>(四)　不准以任何理由为甲方、相关单位或个人组织有可能影响公正执行公务的宴请、健身、娱乐等活动。</w:t>
      </w:r>
    </w:p>
    <w:p>
      <w:pPr>
        <w:spacing w:line="360" w:lineRule="auto"/>
        <w:ind w:firstLine="480"/>
        <w:rPr>
          <w:rFonts w:ascii="宋体" w:hAnsi="宋体"/>
          <w:szCs w:val="21"/>
        </w:rPr>
      </w:pPr>
      <w:r>
        <w:rPr>
          <w:rFonts w:hint="eastAsia" w:ascii="宋体" w:hAnsi="宋体"/>
          <w:szCs w:val="21"/>
        </w:rPr>
        <w:t>(五)　</w:t>
      </w:r>
      <w:r>
        <w:rPr>
          <w:rFonts w:ascii="宋体" w:hAnsi="宋体"/>
          <w:szCs w:val="21"/>
        </w:rPr>
        <w:t>不得实施商业贿赂行为，实施商业贿赂行为后将被列入商业贿赂不良记录</w:t>
      </w:r>
      <w:r>
        <w:rPr>
          <w:rFonts w:hint="eastAsia" w:ascii="宋体" w:hAnsi="宋体"/>
          <w:szCs w:val="21"/>
        </w:rPr>
        <w:t>。乙方指定企业销售</w:t>
      </w:r>
      <w:r>
        <w:rPr>
          <w:rFonts w:ascii="宋体" w:hAnsi="宋体"/>
          <w:szCs w:val="21"/>
        </w:rPr>
        <w:t>代表</w:t>
      </w:r>
      <w:r>
        <w:rPr>
          <w:rFonts w:hint="eastAsia" w:ascii="宋体" w:hAnsi="宋体"/>
          <w:szCs w:val="21"/>
        </w:rPr>
        <w:t>为</w:t>
      </w:r>
      <w:r>
        <w:rPr>
          <w:rFonts w:hint="eastAsia" w:ascii="宋体" w:hAnsi="宋体"/>
          <w:szCs w:val="21"/>
          <w:u w:val="single"/>
        </w:rPr>
        <w:t xml:space="preserve">           </w:t>
      </w:r>
      <w:r>
        <w:rPr>
          <w:rFonts w:hint="eastAsia" w:ascii="宋体" w:hAnsi="宋体"/>
          <w:szCs w:val="21"/>
        </w:rPr>
        <w:t>。</w:t>
      </w:r>
    </w:p>
    <w:p>
      <w:pPr>
        <w:spacing w:line="360" w:lineRule="auto"/>
        <w:ind w:firstLine="480"/>
        <w:rPr>
          <w:rFonts w:ascii="黑体" w:hAnsi="宋体" w:eastAsia="黑体"/>
          <w:szCs w:val="21"/>
        </w:rPr>
      </w:pPr>
      <w:r>
        <w:rPr>
          <w:rFonts w:hint="eastAsia" w:ascii="黑体" w:hAnsi="宋体" w:eastAsia="黑体"/>
          <w:szCs w:val="21"/>
        </w:rPr>
        <w:t>第四条　</w:t>
      </w:r>
      <w:r>
        <w:rPr>
          <w:rFonts w:hint="eastAsia" w:ascii="宋体" w:hAnsi="宋体"/>
          <w:szCs w:val="21"/>
        </w:rPr>
        <w:t>违约责任</w:t>
      </w:r>
    </w:p>
    <w:p>
      <w:pPr>
        <w:spacing w:line="360" w:lineRule="auto"/>
        <w:rPr>
          <w:rFonts w:ascii="宋体" w:hAnsi="宋体"/>
          <w:szCs w:val="21"/>
        </w:rPr>
      </w:pPr>
      <w:r>
        <w:rPr>
          <w:rFonts w:hint="eastAsia" w:ascii="宋体" w:hAnsi="宋体"/>
          <w:szCs w:val="21"/>
        </w:rPr>
        <w:t>　　(一)　甲方工作人员有违反本责任书第一、二条责任行为的，按照管理权限，依据有关法律法规和规定给予党纪、政纪处分或组织处理；涉嫌犯罪，移交司法机关追究刑事责任；给乙方单位造成经济损失的，应予以赔偿。</w:t>
      </w:r>
    </w:p>
    <w:p>
      <w:pPr>
        <w:spacing w:line="360" w:lineRule="auto"/>
        <w:ind w:firstLine="480"/>
        <w:rPr>
          <w:rFonts w:ascii="宋体" w:hAnsi="宋体"/>
          <w:szCs w:val="21"/>
        </w:rPr>
      </w:pPr>
      <w:r>
        <w:rPr>
          <w:rFonts w:hint="eastAsia" w:ascii="宋体" w:hAnsi="宋体"/>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pPr>
        <w:spacing w:line="360" w:lineRule="auto"/>
        <w:ind w:firstLine="480"/>
        <w:rPr>
          <w:rFonts w:ascii="宋体" w:hAnsi="宋体"/>
          <w:szCs w:val="21"/>
        </w:rPr>
      </w:pPr>
      <w:r>
        <w:rPr>
          <w:rFonts w:hint="eastAsia" w:ascii="黑体" w:hAnsi="宋体" w:eastAsia="黑体"/>
          <w:szCs w:val="21"/>
        </w:rPr>
        <w:t>第五条　</w:t>
      </w:r>
      <w:r>
        <w:rPr>
          <w:rFonts w:hint="eastAsia" w:ascii="宋体" w:hAnsi="宋体"/>
          <w:szCs w:val="21"/>
        </w:rPr>
        <w:t>本责任书作为项目合同的附件，与项目合同具有同等法律效力。经双方签署后立即生效。</w:t>
      </w:r>
    </w:p>
    <w:p>
      <w:pPr>
        <w:spacing w:line="360" w:lineRule="auto"/>
        <w:ind w:firstLine="480"/>
        <w:rPr>
          <w:rFonts w:ascii="宋体" w:hAnsi="宋体"/>
          <w:szCs w:val="21"/>
        </w:rPr>
      </w:pPr>
      <w:r>
        <w:rPr>
          <w:rFonts w:hint="eastAsia" w:ascii="黑体" w:hAnsi="宋体" w:eastAsia="黑体"/>
          <w:szCs w:val="21"/>
        </w:rPr>
        <w:t>第六条　</w:t>
      </w:r>
      <w:r>
        <w:rPr>
          <w:rFonts w:hint="eastAsia" w:ascii="宋体" w:hAnsi="宋体"/>
          <w:szCs w:val="21"/>
        </w:rPr>
        <w:t>本责任书的有效期为双方签署之日起至合同结束时止。</w:t>
      </w:r>
    </w:p>
    <w:p>
      <w:pPr>
        <w:adjustRightInd w:val="0"/>
        <w:snapToGrid w:val="0"/>
        <w:spacing w:line="360" w:lineRule="auto"/>
        <w:ind w:left="620"/>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甲方单位：（盖章）北京大学人民医院　　   乙方单位：（盖章）</w:t>
      </w:r>
    </w:p>
    <w:p>
      <w:pPr>
        <w:adjustRightInd w:val="0"/>
        <w:snapToGrid w:val="0"/>
        <w:spacing w:line="360" w:lineRule="auto"/>
        <w:rPr>
          <w:rFonts w:ascii="宋体" w:hAnsi="宋体"/>
          <w:szCs w:val="21"/>
        </w:rPr>
      </w:pPr>
      <w:r>
        <w:rPr>
          <w:rFonts w:hint="eastAsia" w:ascii="宋体" w:hAnsi="宋体"/>
          <w:szCs w:val="21"/>
        </w:rPr>
        <w:t xml:space="preserve">　　　 　　　                           </w:t>
      </w:r>
    </w:p>
    <w:p>
      <w:pPr>
        <w:adjustRightInd w:val="0"/>
        <w:snapToGrid w:val="0"/>
        <w:spacing w:line="360" w:lineRule="auto"/>
        <w:ind w:left="-2" w:leftChars="-1"/>
        <w:rPr>
          <w:rFonts w:ascii="宋体" w:hAnsi="宋体"/>
          <w:szCs w:val="21"/>
        </w:rPr>
      </w:pPr>
      <w:r>
        <w:rPr>
          <w:rFonts w:hint="eastAsia" w:ascii="宋体" w:hAnsi="宋体"/>
          <w:szCs w:val="21"/>
        </w:rPr>
        <w:t>法定代表人(或授权代表签字）： 　　       法定代表人(或授权代表签字）：</w:t>
      </w:r>
    </w:p>
    <w:p>
      <w:pPr>
        <w:adjustRightInd w:val="0"/>
        <w:snapToGrid w:val="0"/>
        <w:spacing w:line="360" w:lineRule="auto"/>
        <w:ind w:left="-2" w:leftChars="-1"/>
        <w:rPr>
          <w:rFonts w:ascii="宋体" w:hAnsi="宋体"/>
          <w:szCs w:val="21"/>
        </w:rPr>
      </w:pPr>
    </w:p>
    <w:p>
      <w:pPr>
        <w:adjustRightInd w:val="0"/>
        <w:snapToGrid w:val="0"/>
        <w:spacing w:line="360" w:lineRule="auto"/>
        <w:ind w:left="-2" w:leftChars="-1"/>
        <w:rPr>
          <w:rFonts w:hAnsi="宋体"/>
          <w:szCs w:val="21"/>
        </w:rPr>
      </w:pPr>
      <w:r>
        <w:rPr>
          <w:rFonts w:hint="eastAsia" w:ascii="宋体" w:hAnsi="宋体"/>
          <w:szCs w:val="21"/>
        </w:rPr>
        <w:t>地址：北京市西城区西直门南大街11号　　 地址：</w:t>
      </w:r>
    </w:p>
    <w:p>
      <w:pPr>
        <w:spacing w:line="360" w:lineRule="auto"/>
        <w:ind w:firstLine="420" w:firstLineChars="200"/>
        <w:rPr>
          <w:szCs w:val="21"/>
        </w:rPr>
      </w:pPr>
      <w:r>
        <w:rPr>
          <w:rFonts w:hint="eastAsia" w:hAnsi="宋体"/>
          <w:szCs w:val="21"/>
        </w:rPr>
        <w:t xml:space="preserve">                                      </w:t>
      </w:r>
    </w:p>
    <w:p>
      <w:pPr>
        <w:adjustRightInd w:val="0"/>
        <w:snapToGrid w:val="0"/>
        <w:spacing w:line="360" w:lineRule="auto"/>
        <w:ind w:left="-2" w:leftChars="-1"/>
        <w:rPr>
          <w:rFonts w:ascii="宋体" w:hAnsi="宋体"/>
          <w:szCs w:val="21"/>
        </w:rPr>
      </w:pPr>
      <w:r>
        <w:rPr>
          <w:rFonts w:hint="eastAsia" w:ascii="宋体" w:hAnsi="宋体"/>
          <w:szCs w:val="21"/>
        </w:rPr>
        <w:t>电话：　010-88326666　　　　　　　　　  电话：</w:t>
      </w:r>
    </w:p>
    <w:p>
      <w:pPr>
        <w:adjustRightInd w:val="0"/>
        <w:snapToGrid w:val="0"/>
        <w:spacing w:line="360" w:lineRule="auto"/>
        <w:ind w:left="-2" w:leftChars="-1" w:firstLine="630" w:firstLineChars="300"/>
        <w:rPr>
          <w:rFonts w:ascii="宋体" w:hAnsi="宋体"/>
          <w:szCs w:val="21"/>
        </w:rPr>
      </w:pPr>
      <w:r>
        <w:rPr>
          <w:rFonts w:hint="eastAsia" w:ascii="宋体" w:hAnsi="宋体"/>
          <w:szCs w:val="21"/>
        </w:rPr>
        <w:t>年　　月　　日                           年　 　月　 　日</w:t>
      </w:r>
    </w:p>
    <w:sectPr>
      <w:headerReference r:id="rId3" w:type="default"/>
      <w:pgSz w:w="11906" w:h="16838"/>
      <w:pgMar w:top="993"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eastAsia"/>
      </w:rPr>
      <w:t>北京大学人民医院 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F2C32"/>
    <w:multiLevelType w:val="multilevel"/>
    <w:tmpl w:val="0B2F2C32"/>
    <w:lvl w:ilvl="0" w:tentative="0">
      <w:start w:val="1"/>
      <w:numFmt w:val="decimal"/>
      <w:lvlText w:val="（%1）"/>
      <w:lvlJc w:val="left"/>
      <w:pPr>
        <w:ind w:left="1"/>
      </w:pPr>
      <w:rPr>
        <w:rFonts w:ascii="宋体" w:hAnsi="宋体" w:eastAsia="宋体" w:cs="宋体"/>
        <w:b w:val="0"/>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188"/>
      </w:pPr>
      <w:rPr>
        <w:rFonts w:ascii="宋体" w:hAnsi="宋体" w:eastAsia="宋体" w:cs="宋体"/>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908"/>
      </w:pPr>
      <w:rPr>
        <w:rFonts w:ascii="宋体" w:hAnsi="宋体" w:eastAsia="宋体" w:cs="宋体"/>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628"/>
      </w:pPr>
      <w:rPr>
        <w:rFonts w:ascii="宋体" w:hAnsi="宋体" w:eastAsia="宋体" w:cs="宋体"/>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348"/>
      </w:pPr>
      <w:rPr>
        <w:rFonts w:ascii="宋体" w:hAnsi="宋体" w:eastAsia="宋体" w:cs="宋体"/>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4068"/>
      </w:pPr>
      <w:rPr>
        <w:rFonts w:ascii="宋体" w:hAnsi="宋体" w:eastAsia="宋体" w:cs="宋体"/>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788"/>
      </w:pPr>
      <w:rPr>
        <w:rFonts w:ascii="宋体" w:hAnsi="宋体" w:eastAsia="宋体" w:cs="宋体"/>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508"/>
      </w:pPr>
      <w:rPr>
        <w:rFonts w:ascii="宋体" w:hAnsi="宋体" w:eastAsia="宋体" w:cs="宋体"/>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228"/>
      </w:pPr>
      <w:rPr>
        <w:rFonts w:ascii="宋体" w:hAnsi="宋体" w:eastAsia="宋体" w:cs="宋体"/>
        <w:b w:val="0"/>
        <w:i w:val="0"/>
        <w:strike w:val="0"/>
        <w:dstrike w:val="0"/>
        <w:color w:val="000000"/>
        <w:sz w:val="21"/>
        <w:szCs w:val="21"/>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1Y2Q0YmVmMTI0NDY4MzIzYzAwMTY4ZGE3ZmNkNjYifQ=="/>
  </w:docVars>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5524"/>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0949"/>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E6A6D"/>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4C4"/>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02D7B"/>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5697F"/>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4FE2"/>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3231"/>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 w:val="236E1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5"/>
    <w:qFormat/>
    <w:uiPriority w:val="9"/>
    <w:pPr>
      <w:keepNext/>
      <w:keepLines/>
      <w:spacing w:before="120" w:after="120"/>
      <w:jc w:val="center"/>
      <w:outlineLvl w:val="0"/>
    </w:pPr>
    <w:rPr>
      <w:b/>
      <w:kern w:val="44"/>
      <w:sz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iPriority w:val="0"/>
    <w:pPr>
      <w:autoSpaceDE w:val="0"/>
      <w:autoSpaceDN w:val="0"/>
      <w:adjustRightInd w:val="0"/>
      <w:ind w:firstLine="420"/>
      <w:jc w:val="left"/>
    </w:pPr>
    <w:rPr>
      <w:rFonts w:ascii="宋体"/>
      <w:kern w:val="0"/>
      <w:sz w:val="24"/>
    </w:rPr>
  </w:style>
  <w:style w:type="paragraph" w:styleId="7">
    <w:name w:val="Balloon Text"/>
    <w:basedOn w:val="1"/>
    <w:link w:val="17"/>
    <w:semiHidden/>
    <w:unhideWhenUsed/>
    <w:uiPriority w:val="99"/>
    <w:rPr>
      <w:sz w:val="18"/>
      <w:szCs w:val="18"/>
    </w:rPr>
  </w:style>
  <w:style w:type="paragraph" w:styleId="8">
    <w:name w:val="footer"/>
    <w:basedOn w:val="1"/>
    <w:link w:val="19"/>
    <w:unhideWhenUsed/>
    <w:uiPriority w:val="99"/>
    <w:pPr>
      <w:tabs>
        <w:tab w:val="center" w:pos="4153"/>
        <w:tab w:val="right" w:pos="8306"/>
      </w:tabs>
      <w:snapToGrid w:val="0"/>
      <w:jc w:val="left"/>
    </w:pPr>
    <w:rPr>
      <w:sz w:val="18"/>
      <w:szCs w:val="18"/>
    </w:rPr>
  </w:style>
  <w:style w:type="paragraph" w:styleId="9">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10">
    <w:name w:val="Body Text 2"/>
    <w:basedOn w:val="1"/>
    <w:link w:val="23"/>
    <w:uiPriority w:val="0"/>
    <w:pPr>
      <w:widowControl/>
      <w:spacing w:after="120" w:line="480" w:lineRule="auto"/>
      <w:jc w:val="left"/>
    </w:pPr>
    <w:rPr>
      <w:rFonts w:ascii="Calibri" w:hAnsi="Calibri"/>
      <w:kern w:val="0"/>
      <w:sz w:val="24"/>
      <w:szCs w:val="24"/>
      <w:lang w:eastAsia="en-US" w:bidi="en-US"/>
    </w:rPr>
  </w:style>
  <w:style w:type="paragraph" w:styleId="11">
    <w:name w:val="Normal (Web)"/>
    <w:basedOn w:val="1"/>
    <w:uiPriority w:val="99"/>
    <w:pPr>
      <w:widowControl/>
      <w:spacing w:before="100" w:beforeAutospacing="1" w:after="100" w:afterAutospacing="1"/>
      <w:jc w:val="left"/>
    </w:pPr>
    <w:rPr>
      <w:kern w:val="0"/>
      <w:sz w:val="24"/>
      <w:szCs w:val="24"/>
    </w:rPr>
  </w:style>
  <w:style w:type="table" w:styleId="13">
    <w:name w:val="Table Grid"/>
    <w:basedOn w:val="12"/>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标题 1 Char"/>
    <w:basedOn w:val="14"/>
    <w:link w:val="2"/>
    <w:uiPriority w:val="0"/>
    <w:rPr>
      <w:rFonts w:ascii="Times New Roman" w:hAnsi="Times New Roman" w:eastAsia="宋体" w:cs="Times New Roman"/>
      <w:b/>
      <w:kern w:val="44"/>
      <w:sz w:val="44"/>
      <w:szCs w:val="20"/>
    </w:rPr>
  </w:style>
  <w:style w:type="character" w:customStyle="1" w:styleId="16">
    <w:name w:val="页眉 Char"/>
    <w:basedOn w:val="14"/>
    <w:link w:val="9"/>
    <w:uiPriority w:val="0"/>
    <w:rPr>
      <w:rFonts w:ascii="Times New Roman" w:hAnsi="Times New Roman" w:eastAsia="宋体" w:cs="Times New Roman"/>
      <w:sz w:val="18"/>
      <w:szCs w:val="18"/>
    </w:rPr>
  </w:style>
  <w:style w:type="character" w:customStyle="1" w:styleId="17">
    <w:name w:val="批注框文本 Char"/>
    <w:basedOn w:val="14"/>
    <w:link w:val="7"/>
    <w:semiHidden/>
    <w:uiPriority w:val="99"/>
    <w:rPr>
      <w:rFonts w:ascii="Times New Roman" w:hAnsi="Times New Roman"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页脚 Char"/>
    <w:basedOn w:val="14"/>
    <w:link w:val="8"/>
    <w:uiPriority w:val="99"/>
    <w:rPr>
      <w:rFonts w:ascii="Times New Roman" w:hAnsi="Times New Roman" w:eastAsia="宋体" w:cs="Times New Roman"/>
      <w:sz w:val="18"/>
      <w:szCs w:val="18"/>
    </w:rPr>
  </w:style>
  <w:style w:type="paragraph" w:customStyle="1" w:styleId="20">
    <w:name w:val="目录"/>
    <w:basedOn w:val="1"/>
    <w:qFormat/>
    <w:uiPriority w:val="0"/>
    <w:pPr>
      <w:widowControl/>
      <w:jc w:val="center"/>
    </w:pPr>
    <w:rPr>
      <w:rFonts w:ascii="宋体"/>
      <w:b/>
      <w:kern w:val="0"/>
      <w:sz w:val="36"/>
    </w:rPr>
  </w:style>
  <w:style w:type="paragraph" w:customStyle="1" w:styleId="21">
    <w:name w:val="列出段落1"/>
    <w:basedOn w:val="1"/>
    <w:qFormat/>
    <w:uiPriority w:val="34"/>
    <w:pPr>
      <w:ind w:firstLine="420" w:firstLineChars="200"/>
    </w:pPr>
    <w:rPr>
      <w:rFonts w:asciiTheme="minorHAnsi" w:hAnsiTheme="minorHAnsi" w:eastAsiaTheme="minorEastAsia" w:cstheme="minorBidi"/>
      <w:szCs w:val="22"/>
    </w:rPr>
  </w:style>
  <w:style w:type="character" w:styleId="22">
    <w:name w:val="Placeholder Text"/>
    <w:basedOn w:val="14"/>
    <w:semiHidden/>
    <w:uiPriority w:val="99"/>
    <w:rPr>
      <w:color w:val="808080"/>
    </w:rPr>
  </w:style>
  <w:style w:type="character" w:customStyle="1" w:styleId="23">
    <w:name w:val="正文文本 2 Char"/>
    <w:basedOn w:val="14"/>
    <w:link w:val="10"/>
    <w:uiPriority w:val="0"/>
    <w:rPr>
      <w:rFonts w:ascii="Calibri" w:hAnsi="Calibri" w:eastAsia="宋体" w:cs="Times New Roman"/>
      <w:kern w:val="0"/>
      <w:sz w:val="24"/>
      <w:szCs w:val="24"/>
      <w:lang w:eastAsia="en-US" w:bidi="en-US"/>
    </w:rPr>
  </w:style>
  <w:style w:type="table" w:customStyle="1" w:styleId="24">
    <w:name w:val="TableGrid"/>
    <w:uiPriority w:val="0"/>
    <w:rPr>
      <w:kern w:val="0"/>
      <w:sz w:val="22"/>
      <w:szCs w:val="20"/>
      <w:lang w:eastAsia="en-US"/>
    </w:rPr>
    <w:tblPr>
      <w:tblCellMar>
        <w:top w:w="0" w:type="dxa"/>
        <w:left w:w="0" w:type="dxa"/>
        <w:bottom w:w="0" w:type="dxa"/>
        <w:right w:w="0" w:type="dxa"/>
      </w:tblCellMar>
    </w:tblPr>
  </w:style>
  <w:style w:type="character" w:customStyle="1" w:styleId="25">
    <w:name w:val="标题 2 Char"/>
    <w:basedOn w:val="14"/>
    <w:link w:val="3"/>
    <w:semiHidden/>
    <w:uiPriority w:val="9"/>
    <w:rPr>
      <w:rFonts w:asciiTheme="majorHAnsi" w:hAnsiTheme="majorHAnsi" w:eastAsiaTheme="majorEastAsia" w:cstheme="majorBidi"/>
      <w:b/>
      <w:bCs/>
      <w:sz w:val="32"/>
      <w:szCs w:val="32"/>
    </w:rPr>
  </w:style>
  <w:style w:type="paragraph" w:customStyle="1" w:styleId="26">
    <w:name w:val="正文（深信服科技）"/>
    <w:link w:val="31"/>
    <w:qFormat/>
    <w:uiPriority w:val="0"/>
    <w:pPr>
      <w:adjustRightInd w:val="0"/>
      <w:snapToGrid w:val="0"/>
      <w:spacing w:line="360" w:lineRule="auto"/>
      <w:ind w:firstLine="480" w:firstLineChars="200"/>
      <w:jc w:val="both"/>
    </w:pPr>
    <w:rPr>
      <w:rFonts w:ascii="Times New Roman" w:hAnsi="Times New Roman" w:eastAsia="宋体" w:cs="Times New Roman"/>
      <w:kern w:val="0"/>
      <w:sz w:val="24"/>
      <w:szCs w:val="21"/>
      <w:lang w:val="en-US" w:eastAsia="zh-CN" w:bidi="ar-SA"/>
    </w:rPr>
  </w:style>
  <w:style w:type="paragraph" w:customStyle="1" w:styleId="27">
    <w:name w:val="标题 3（深信服科技）"/>
    <w:basedOn w:val="4"/>
    <w:next w:val="26"/>
    <w:qFormat/>
    <w:uiPriority w:val="0"/>
    <w:pPr>
      <w:tabs>
        <w:tab w:val="left" w:pos="420"/>
        <w:tab w:val="left" w:pos="960"/>
      </w:tabs>
      <w:adjustRightInd w:val="0"/>
      <w:snapToGrid w:val="0"/>
      <w:spacing w:before="156" w:beforeLines="50" w:after="156" w:afterLines="50" w:line="240" w:lineRule="auto"/>
      <w:ind w:left="960" w:hanging="420"/>
      <w:jc w:val="left"/>
    </w:pPr>
    <w:rPr>
      <w:rFonts w:eastAsia="黑体"/>
      <w:bCs w:val="0"/>
      <w:kern w:val="0"/>
      <w:sz w:val="28"/>
      <w:szCs w:val="30"/>
    </w:rPr>
  </w:style>
  <w:style w:type="paragraph" w:customStyle="1" w:styleId="28">
    <w:name w:val="标题 4（深信服科技）"/>
    <w:basedOn w:val="5"/>
    <w:next w:val="26"/>
    <w:qFormat/>
    <w:uiPriority w:val="0"/>
    <w:pPr>
      <w:widowControl/>
      <w:tabs>
        <w:tab w:val="left" w:pos="420"/>
        <w:tab w:val="left" w:pos="1644"/>
      </w:tabs>
      <w:adjustRightInd w:val="0"/>
      <w:snapToGrid w:val="0"/>
      <w:spacing w:before="156" w:beforeLines="50" w:after="156" w:afterLines="50" w:line="240" w:lineRule="auto"/>
      <w:ind w:left="1644" w:hanging="850"/>
      <w:jc w:val="left"/>
    </w:pPr>
    <w:rPr>
      <w:rFonts w:ascii="Times New Roman" w:hAnsi="Times New Roman" w:eastAsia="黑体" w:cs="Times New Roman"/>
      <w:bCs w:val="0"/>
      <w:kern w:val="0"/>
      <w:sz w:val="24"/>
    </w:rPr>
  </w:style>
  <w:style w:type="paragraph" w:customStyle="1" w:styleId="29">
    <w:name w:val="标题 6（有编号）（深信服）"/>
    <w:basedOn w:val="1"/>
    <w:next w:val="26"/>
    <w:qFormat/>
    <w:locked/>
    <w:uiPriority w:val="0"/>
    <w:pPr>
      <w:keepNext/>
      <w:keepLines/>
      <w:spacing w:before="240" w:after="64" w:line="319" w:lineRule="auto"/>
      <w:ind w:left="400" w:hanging="400"/>
      <w:jc w:val="left"/>
      <w:outlineLvl w:val="5"/>
    </w:pPr>
    <w:rPr>
      <w:rFonts w:ascii="Arial" w:hAnsi="Arial"/>
      <w:b/>
      <w:kern w:val="0"/>
      <w:szCs w:val="24"/>
    </w:rPr>
  </w:style>
  <w:style w:type="paragraph" w:customStyle="1" w:styleId="30">
    <w:name w:val="标题 5（深信服科技）"/>
    <w:basedOn w:val="1"/>
    <w:next w:val="26"/>
    <w:qFormat/>
    <w:uiPriority w:val="0"/>
    <w:pPr>
      <w:keepNext/>
      <w:keepLines/>
      <w:tabs>
        <w:tab w:val="left" w:pos="420"/>
      </w:tabs>
      <w:adjustRightInd w:val="0"/>
      <w:snapToGrid w:val="0"/>
      <w:spacing w:before="156" w:beforeLines="50" w:after="156" w:afterLines="50"/>
      <w:ind w:left="400" w:hanging="400"/>
      <w:jc w:val="left"/>
      <w:outlineLvl w:val="4"/>
    </w:pPr>
    <w:rPr>
      <w:rFonts w:eastAsia="黑体"/>
      <w:kern w:val="0"/>
      <w:sz w:val="24"/>
      <w:szCs w:val="28"/>
    </w:rPr>
  </w:style>
  <w:style w:type="character" w:customStyle="1" w:styleId="31">
    <w:name w:val="正文（深信服科技） 字符"/>
    <w:link w:val="26"/>
    <w:qFormat/>
    <w:uiPriority w:val="0"/>
    <w:rPr>
      <w:rFonts w:ascii="Times New Roman" w:hAnsi="Times New Roman" w:eastAsia="宋体" w:cs="Times New Roman"/>
      <w:kern w:val="0"/>
      <w:sz w:val="24"/>
      <w:szCs w:val="21"/>
    </w:rPr>
  </w:style>
  <w:style w:type="paragraph" w:customStyle="1" w:styleId="32">
    <w:name w:val="15"/>
    <w:basedOn w:val="1"/>
    <w:qFormat/>
    <w:uiPriority w:val="0"/>
    <w:pPr>
      <w:widowControl/>
      <w:jc w:val="left"/>
    </w:pPr>
    <w:rPr>
      <w:rFonts w:ascii="宋体" w:hAnsi="宋体" w:cs="宋体"/>
      <w:kern w:val="0"/>
      <w:sz w:val="24"/>
      <w:szCs w:val="24"/>
    </w:rPr>
  </w:style>
  <w:style w:type="character" w:customStyle="1" w:styleId="33">
    <w:name w:val="标题 3 Char"/>
    <w:basedOn w:val="14"/>
    <w:link w:val="4"/>
    <w:semiHidden/>
    <w:uiPriority w:val="9"/>
    <w:rPr>
      <w:rFonts w:ascii="Times New Roman" w:hAnsi="Times New Roman" w:eastAsia="宋体" w:cs="Times New Roman"/>
      <w:b/>
      <w:bCs/>
      <w:sz w:val="32"/>
      <w:szCs w:val="32"/>
    </w:rPr>
  </w:style>
  <w:style w:type="character" w:customStyle="1" w:styleId="34">
    <w:name w:val="标题 4 Char"/>
    <w:basedOn w:val="14"/>
    <w:link w:val="5"/>
    <w:semiHidden/>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878D9-5F34-4E99-A7F9-3AF980ED1572}">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7064</Words>
  <Characters>7417</Characters>
  <Lines>60</Lines>
  <Paragraphs>17</Paragraphs>
  <TotalTime>103</TotalTime>
  <ScaleCrop>false</ScaleCrop>
  <LinksUpToDate>false</LinksUpToDate>
  <CharactersWithSpaces>8229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2021-11-05T02:12:00Z</dcterms:created>
  <dc:creator>User</dc:creator>
  <cp:lastModifiedBy>田竞冉-JokeR-主理人</cp:lastModifiedBy>
  <cp:lastPrinted>2015-07-01T23:52:00Z</cp:lastPrinted>
  <dcterms:modified xsi:type="dcterms:W3CDTF">2022-11-09T09:59:22Z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452E23012D1D40E9ABA99A094CF2A613</vt:lpwstr>
  </property>
</Properties>
</file>