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FE2" w:rsidRPr="00922E62" w:rsidRDefault="007E3033" w:rsidP="00382959">
      <w:pPr>
        <w:jc w:val="center"/>
        <w:rPr>
          <w:rFonts w:ascii="宋体" w:eastAsia="宋体" w:hAnsi="宋体"/>
          <w:b/>
          <w:sz w:val="28"/>
          <w:szCs w:val="28"/>
        </w:rPr>
      </w:pPr>
      <w:r>
        <w:rPr>
          <w:rFonts w:ascii="宋体" w:eastAsia="宋体" w:hAnsi="宋体" w:hint="eastAsia"/>
          <w:b/>
          <w:sz w:val="28"/>
          <w:szCs w:val="28"/>
        </w:rPr>
        <w:t>北京大学人民医院</w:t>
      </w:r>
      <w:bookmarkStart w:id="0" w:name="_Hlk167918209"/>
      <w:r w:rsidR="003F7BB8">
        <w:rPr>
          <w:rFonts w:ascii="宋体" w:eastAsia="宋体" w:hAnsi="宋体" w:hint="eastAsia"/>
          <w:b/>
          <w:sz w:val="28"/>
          <w:szCs w:val="28"/>
        </w:rPr>
        <w:t>有害生物防治</w:t>
      </w:r>
      <w:r w:rsidR="00BB1805">
        <w:rPr>
          <w:rFonts w:ascii="宋体" w:eastAsia="宋体" w:hAnsi="宋体" w:hint="eastAsia"/>
          <w:b/>
          <w:sz w:val="28"/>
          <w:szCs w:val="28"/>
        </w:rPr>
        <w:t>服务</w:t>
      </w:r>
      <w:r w:rsidR="00C3020F" w:rsidRPr="00C3020F">
        <w:rPr>
          <w:rFonts w:ascii="宋体" w:eastAsia="宋体" w:hAnsi="宋体" w:hint="eastAsia"/>
          <w:b/>
          <w:sz w:val="28"/>
          <w:szCs w:val="28"/>
        </w:rPr>
        <w:t>项目</w:t>
      </w:r>
      <w:r>
        <w:rPr>
          <w:rFonts w:ascii="宋体" w:eastAsia="宋体" w:hAnsi="宋体" w:hint="eastAsia"/>
          <w:b/>
          <w:sz w:val="28"/>
          <w:szCs w:val="28"/>
        </w:rPr>
        <w:t>采购文件</w:t>
      </w:r>
    </w:p>
    <w:p w:rsidR="00A62085" w:rsidRDefault="007E3033">
      <w:pPr>
        <w:jc w:val="left"/>
        <w:rPr>
          <w:rFonts w:ascii="宋体" w:eastAsia="宋体" w:hAnsi="宋体"/>
          <w:b/>
          <w:sz w:val="24"/>
          <w:szCs w:val="24"/>
        </w:rPr>
      </w:pPr>
      <w:r>
        <w:rPr>
          <w:rFonts w:ascii="宋体" w:eastAsia="宋体" w:hAnsi="宋体" w:hint="eastAsia"/>
          <w:b/>
          <w:sz w:val="24"/>
          <w:szCs w:val="24"/>
        </w:rPr>
        <w:t>一、采购公告</w:t>
      </w:r>
    </w:p>
    <w:p w:rsidR="003F7BB8" w:rsidRDefault="007E3033">
      <w:pPr>
        <w:ind w:firstLineChars="200" w:firstLine="420"/>
        <w:jc w:val="left"/>
        <w:rPr>
          <w:rFonts w:ascii="宋体" w:eastAsia="宋体" w:hAnsi="宋体"/>
          <w:szCs w:val="21"/>
        </w:rPr>
      </w:pPr>
      <w:r>
        <w:rPr>
          <w:rFonts w:ascii="宋体" w:eastAsia="宋体" w:hAnsi="宋体" w:hint="eastAsia"/>
          <w:szCs w:val="21"/>
        </w:rPr>
        <w:t>1、项目名称：</w:t>
      </w:r>
      <w:r w:rsidR="003F7BB8" w:rsidRPr="003F7BB8">
        <w:rPr>
          <w:rFonts w:ascii="宋体" w:eastAsia="宋体" w:hAnsi="宋体" w:hint="eastAsia"/>
          <w:szCs w:val="21"/>
        </w:rPr>
        <w:t>有害生物防治服务项目</w:t>
      </w:r>
    </w:p>
    <w:p w:rsidR="0071555C" w:rsidRPr="00627237" w:rsidRDefault="007E3033">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71555C" w:rsidRPr="00627237">
        <w:rPr>
          <w:rFonts w:ascii="宋体" w:eastAsia="宋体" w:hAnsi="宋体"/>
          <w:szCs w:val="21"/>
        </w:rPr>
        <w:t>对我院</w:t>
      </w:r>
      <w:r w:rsidR="0071555C" w:rsidRPr="00627237">
        <w:rPr>
          <w:rFonts w:ascii="宋体" w:eastAsia="宋体" w:hAnsi="宋体" w:hint="eastAsia"/>
          <w:szCs w:val="21"/>
        </w:rPr>
        <w:t>西直门、白塔寺、通州</w:t>
      </w:r>
      <w:r w:rsidR="0071555C" w:rsidRPr="00627237">
        <w:rPr>
          <w:rFonts w:ascii="宋体" w:eastAsia="宋体" w:hAnsi="宋体"/>
          <w:szCs w:val="21"/>
        </w:rPr>
        <w:t>院区</w:t>
      </w:r>
      <w:r w:rsidR="002922F4" w:rsidRPr="00627237">
        <w:rPr>
          <w:rFonts w:ascii="宋体" w:eastAsia="宋体" w:hAnsi="宋体" w:hint="eastAsia"/>
          <w:szCs w:val="21"/>
        </w:rPr>
        <w:t>（总面积261,341.67平米）</w:t>
      </w:r>
      <w:r w:rsidR="0071555C" w:rsidRPr="00627237">
        <w:rPr>
          <w:rFonts w:ascii="宋体" w:eastAsia="宋体" w:hAnsi="宋体"/>
          <w:szCs w:val="21"/>
        </w:rPr>
        <w:t>开展杀灭鼠、</w:t>
      </w:r>
      <w:proofErr w:type="gramStart"/>
      <w:r w:rsidR="0071555C" w:rsidRPr="00627237">
        <w:rPr>
          <w:rFonts w:ascii="宋体" w:eastAsia="宋体" w:hAnsi="宋体"/>
          <w:szCs w:val="21"/>
        </w:rPr>
        <w:t>蟑</w:t>
      </w:r>
      <w:proofErr w:type="gramEnd"/>
      <w:r w:rsidR="0071555C" w:rsidRPr="00627237">
        <w:rPr>
          <w:rFonts w:ascii="宋体" w:eastAsia="宋体" w:hAnsi="宋体"/>
          <w:szCs w:val="21"/>
        </w:rPr>
        <w:t>、蚊蝇等病媒生物防治工作</w:t>
      </w:r>
      <w:r w:rsidR="0071555C" w:rsidRPr="00627237">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3F7BB8">
        <w:rPr>
          <w:rFonts w:ascii="宋体" w:eastAsia="宋体" w:hAnsi="宋体"/>
          <w:szCs w:val="21"/>
        </w:rPr>
        <w:t>34.36616</w:t>
      </w:r>
      <w:r>
        <w:rPr>
          <w:rFonts w:ascii="宋体" w:eastAsia="宋体" w:hAnsi="宋体" w:hint="eastAsia"/>
          <w:szCs w:val="21"/>
        </w:rPr>
        <w:t>万元</w:t>
      </w:r>
    </w:p>
    <w:p w:rsidR="00A62085" w:rsidRDefault="007E3033">
      <w:pPr>
        <w:ind w:firstLineChars="200" w:firstLine="420"/>
        <w:jc w:val="left"/>
        <w:rPr>
          <w:rFonts w:ascii="宋体" w:eastAsia="宋体" w:hAnsi="宋体"/>
          <w:szCs w:val="21"/>
        </w:rPr>
      </w:pPr>
      <w:r>
        <w:rPr>
          <w:rFonts w:ascii="宋体" w:eastAsia="宋体" w:hAnsi="宋体" w:hint="eastAsia"/>
          <w:szCs w:val="21"/>
        </w:rPr>
        <w:t>4、资金来源：财政性资金</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w:t>
      </w:r>
      <w:r w:rsidR="003F7BB8">
        <w:rPr>
          <w:rFonts w:ascii="宋体" w:eastAsia="宋体" w:hAnsi="宋体" w:hint="eastAsia"/>
          <w:szCs w:val="21"/>
        </w:rPr>
        <w:t>服务期限</w:t>
      </w:r>
      <w:r>
        <w:rPr>
          <w:rFonts w:ascii="宋体" w:eastAsia="宋体" w:hAnsi="宋体" w:hint="eastAsia"/>
          <w:szCs w:val="21"/>
        </w:rPr>
        <w:t>：</w:t>
      </w:r>
      <w:r w:rsidR="003F7BB8">
        <w:rPr>
          <w:rFonts w:ascii="宋体" w:eastAsia="宋体" w:hAnsi="宋体" w:hint="eastAsia"/>
          <w:szCs w:val="21"/>
        </w:rPr>
        <w:t>2年</w:t>
      </w:r>
    </w:p>
    <w:p w:rsidR="00A62085" w:rsidRDefault="00395E4F" w:rsidP="00A47B50">
      <w:pPr>
        <w:ind w:firstLineChars="200" w:firstLine="420"/>
        <w:jc w:val="left"/>
        <w:rPr>
          <w:rFonts w:ascii="宋体" w:eastAsia="宋体" w:hAnsi="宋体"/>
          <w:szCs w:val="21"/>
        </w:rPr>
      </w:pPr>
      <w:r>
        <w:rPr>
          <w:rFonts w:ascii="宋体" w:eastAsia="宋体" w:hAnsi="宋体"/>
          <w:szCs w:val="21"/>
        </w:rPr>
        <w:t>6</w:t>
      </w:r>
      <w:r w:rsidR="007E3033">
        <w:rPr>
          <w:rFonts w:ascii="宋体" w:eastAsia="宋体" w:hAnsi="宋体" w:hint="eastAsia"/>
          <w:szCs w:val="21"/>
        </w:rPr>
        <w:t>、投标文件所需资料：</w:t>
      </w:r>
    </w:p>
    <w:p w:rsidR="00A62085" w:rsidRDefault="007E3033">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A62085" w:rsidRDefault="007E3033">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A62085" w:rsidRDefault="007E3033">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sidR="00AD2F09">
        <w:rPr>
          <w:rFonts w:ascii="宋体" w:eastAsia="宋体" w:hAnsi="宋体"/>
          <w:szCs w:val="21"/>
        </w:rPr>
        <w:t>2</w:t>
      </w:r>
      <w:r>
        <w:rPr>
          <w:rFonts w:ascii="宋体" w:eastAsia="宋体" w:hAnsi="宋体"/>
          <w:szCs w:val="21"/>
        </w:rPr>
        <w:t>年</w:t>
      </w:r>
      <w:r w:rsidR="00EF4D9C">
        <w:rPr>
          <w:rFonts w:ascii="宋体" w:eastAsia="宋体" w:hAnsi="宋体"/>
          <w:szCs w:val="21"/>
        </w:rPr>
        <w:t>3</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pPr>
        <w:pStyle w:val="a9"/>
        <w:numPr>
          <w:ilvl w:val="0"/>
          <w:numId w:val="2"/>
        </w:numPr>
        <w:ind w:firstLineChars="0"/>
        <w:jc w:val="left"/>
        <w:rPr>
          <w:rFonts w:ascii="宋体" w:eastAsia="宋体" w:hAnsi="宋体"/>
          <w:b/>
          <w:sz w:val="24"/>
          <w:szCs w:val="24"/>
        </w:rPr>
      </w:pPr>
      <w:r>
        <w:rPr>
          <w:rFonts w:ascii="宋体" w:eastAsia="宋体" w:hAnsi="宋体" w:hint="eastAsia"/>
          <w:b/>
          <w:sz w:val="24"/>
          <w:szCs w:val="24"/>
        </w:rPr>
        <w:t>项目要求：</w:t>
      </w:r>
    </w:p>
    <w:p w:rsidR="002922F4" w:rsidRPr="002922F4" w:rsidRDefault="002922F4" w:rsidP="002922F4">
      <w:pPr>
        <w:ind w:left="504"/>
        <w:rPr>
          <w:rFonts w:ascii="宋体" w:eastAsia="宋体" w:hAnsi="宋体"/>
          <w:szCs w:val="21"/>
        </w:rPr>
      </w:pPr>
      <w:r w:rsidRPr="002922F4">
        <w:rPr>
          <w:rFonts w:ascii="宋体" w:eastAsia="宋体" w:hAnsi="宋体" w:hint="eastAsia"/>
          <w:szCs w:val="21"/>
        </w:rPr>
        <w:t>1.消杀频次：重点区域（手术室、消毒供应室、病房、食堂）每月1次，其他区域全覆盖每季度1次。</w:t>
      </w:r>
    </w:p>
    <w:p w:rsidR="002922F4" w:rsidRDefault="00316C2A" w:rsidP="00516643">
      <w:pPr>
        <w:ind w:left="504"/>
        <w:rPr>
          <w:rFonts w:ascii="宋体" w:eastAsia="宋体" w:hAnsi="宋体"/>
          <w:szCs w:val="21"/>
        </w:rPr>
      </w:pPr>
      <w:r>
        <w:rPr>
          <w:rFonts w:ascii="宋体" w:eastAsia="宋体" w:hAnsi="宋体"/>
          <w:szCs w:val="21"/>
        </w:rPr>
        <w:t>2</w:t>
      </w:r>
      <w:r w:rsidR="002922F4" w:rsidRPr="002922F4">
        <w:rPr>
          <w:rFonts w:ascii="宋体" w:eastAsia="宋体" w:hAnsi="宋体" w:hint="eastAsia"/>
          <w:szCs w:val="21"/>
        </w:rPr>
        <w:t>.免费提供：应急服务24小时</w:t>
      </w:r>
      <w:r w:rsidR="00C604AF">
        <w:rPr>
          <w:rFonts w:ascii="宋体" w:eastAsia="宋体" w:hAnsi="宋体" w:hint="eastAsia"/>
          <w:szCs w:val="21"/>
        </w:rPr>
        <w:t>；</w:t>
      </w:r>
      <w:r w:rsidR="002922F4" w:rsidRPr="002922F4">
        <w:rPr>
          <w:rFonts w:ascii="宋体" w:eastAsia="宋体" w:hAnsi="宋体" w:hint="eastAsia"/>
          <w:szCs w:val="21"/>
        </w:rPr>
        <w:t>对夏季蚊虫高发期</w:t>
      </w:r>
      <w:r w:rsidR="002922F4" w:rsidRPr="002922F4">
        <w:rPr>
          <w:rFonts w:ascii="宋体" w:eastAsia="宋体" w:hAnsi="宋体"/>
          <w:szCs w:val="21"/>
        </w:rPr>
        <w:t>(6-9</w:t>
      </w:r>
      <w:r w:rsidR="002922F4" w:rsidRPr="002922F4">
        <w:rPr>
          <w:rFonts w:ascii="宋体" w:eastAsia="宋体" w:hAnsi="宋体" w:hint="eastAsia"/>
          <w:szCs w:val="21"/>
        </w:rPr>
        <w:t>月</w:t>
      </w:r>
      <w:r w:rsidR="002922F4" w:rsidRPr="002922F4">
        <w:rPr>
          <w:rFonts w:ascii="宋体" w:eastAsia="宋体" w:hAnsi="宋体"/>
          <w:szCs w:val="21"/>
        </w:rPr>
        <w:t>)</w:t>
      </w:r>
      <w:r w:rsidR="002922F4" w:rsidRPr="002922F4">
        <w:rPr>
          <w:rFonts w:ascii="宋体" w:eastAsia="宋体" w:hAnsi="宋体" w:hint="eastAsia"/>
          <w:szCs w:val="21"/>
        </w:rPr>
        <w:t>提供</w:t>
      </w:r>
      <w:r w:rsidR="002922F4" w:rsidRPr="002922F4">
        <w:rPr>
          <w:rFonts w:ascii="宋体" w:eastAsia="宋体" w:hAnsi="宋体"/>
          <w:szCs w:val="21"/>
        </w:rPr>
        <w:t>4</w:t>
      </w:r>
      <w:r w:rsidR="002922F4" w:rsidRPr="002922F4">
        <w:rPr>
          <w:rFonts w:ascii="宋体" w:eastAsia="宋体" w:hAnsi="宋体" w:hint="eastAsia"/>
          <w:szCs w:val="21"/>
        </w:rPr>
        <w:t>次专项服务</w:t>
      </w:r>
      <w:r w:rsidR="00C604AF">
        <w:rPr>
          <w:rFonts w:ascii="宋体" w:eastAsia="宋体" w:hAnsi="宋体" w:hint="eastAsia"/>
          <w:szCs w:val="21"/>
        </w:rPr>
        <w:t>；</w:t>
      </w:r>
      <w:r w:rsidR="002922F4" w:rsidRPr="002922F4">
        <w:rPr>
          <w:rFonts w:ascii="宋体" w:eastAsia="宋体" w:hAnsi="宋体" w:hint="eastAsia"/>
          <w:szCs w:val="21"/>
        </w:rPr>
        <w:t>对非常规害虫（跳蚤、蚂蚁等）进行鉴定、治理，根据防治效果调整防治方法。</w:t>
      </w:r>
    </w:p>
    <w:p w:rsidR="00C83713" w:rsidRDefault="00316C2A" w:rsidP="00516643">
      <w:pPr>
        <w:ind w:left="504"/>
        <w:rPr>
          <w:rFonts w:ascii="宋体" w:eastAsia="宋体" w:hAnsi="宋体"/>
          <w:szCs w:val="21"/>
        </w:rPr>
      </w:pPr>
      <w:r>
        <w:rPr>
          <w:rFonts w:ascii="宋体" w:eastAsia="宋体" w:hAnsi="宋体"/>
          <w:szCs w:val="21"/>
        </w:rPr>
        <w:t>3</w:t>
      </w:r>
      <w:r w:rsidR="00C83713">
        <w:rPr>
          <w:rFonts w:ascii="宋体" w:eastAsia="宋体" w:hAnsi="宋体"/>
          <w:szCs w:val="21"/>
        </w:rPr>
        <w:t>.</w:t>
      </w:r>
      <w:r w:rsidR="00C83713">
        <w:rPr>
          <w:rFonts w:ascii="宋体" w:eastAsia="宋体" w:hAnsi="宋体" w:hint="eastAsia"/>
          <w:szCs w:val="21"/>
        </w:rPr>
        <w:t>灭</w:t>
      </w:r>
      <w:proofErr w:type="gramStart"/>
      <w:r w:rsidR="00C83713">
        <w:rPr>
          <w:rFonts w:ascii="宋体" w:eastAsia="宋体" w:hAnsi="宋体" w:hint="eastAsia"/>
          <w:szCs w:val="21"/>
        </w:rPr>
        <w:t>蟑</w:t>
      </w:r>
      <w:proofErr w:type="gramEnd"/>
      <w:r w:rsidR="00C83713">
        <w:rPr>
          <w:rFonts w:ascii="宋体" w:eastAsia="宋体" w:hAnsi="宋体" w:hint="eastAsia"/>
          <w:szCs w:val="21"/>
        </w:rPr>
        <w:t>使用药剂：</w:t>
      </w:r>
      <w:proofErr w:type="gramStart"/>
      <w:r w:rsidR="00C83713">
        <w:rPr>
          <w:rFonts w:ascii="宋体" w:eastAsia="宋体" w:hAnsi="宋体" w:hint="eastAsia"/>
          <w:szCs w:val="21"/>
        </w:rPr>
        <w:t>拜灭优</w:t>
      </w:r>
      <w:proofErr w:type="gramEnd"/>
      <w:r w:rsidR="00C83713">
        <w:rPr>
          <w:rFonts w:ascii="宋体" w:eastAsia="宋体" w:hAnsi="宋体" w:hint="eastAsia"/>
          <w:szCs w:val="21"/>
        </w:rPr>
        <w:t>、贝克特、功成胶饵、苏克力、都灭、特姆得等。</w:t>
      </w:r>
    </w:p>
    <w:p w:rsidR="00516643" w:rsidRDefault="00316C2A" w:rsidP="00516643">
      <w:pPr>
        <w:ind w:left="504"/>
        <w:rPr>
          <w:rFonts w:ascii="宋体" w:eastAsia="宋体" w:hAnsi="宋体"/>
          <w:szCs w:val="21"/>
        </w:rPr>
      </w:pPr>
      <w:r>
        <w:rPr>
          <w:rFonts w:ascii="宋体" w:eastAsia="宋体" w:hAnsi="宋体"/>
          <w:szCs w:val="21"/>
        </w:rPr>
        <w:t>4</w:t>
      </w:r>
      <w:r w:rsidR="00516643">
        <w:rPr>
          <w:rFonts w:ascii="宋体" w:eastAsia="宋体" w:hAnsi="宋体"/>
          <w:szCs w:val="21"/>
        </w:rPr>
        <w:t>.</w:t>
      </w:r>
      <w:r w:rsidR="00516643">
        <w:rPr>
          <w:rFonts w:ascii="宋体" w:eastAsia="宋体" w:hAnsi="宋体" w:hint="eastAsia"/>
          <w:szCs w:val="21"/>
        </w:rPr>
        <w:t>灭鼠使用药剂：</w:t>
      </w:r>
      <w:proofErr w:type="gramStart"/>
      <w:r w:rsidR="00516643">
        <w:rPr>
          <w:rFonts w:ascii="宋体" w:eastAsia="宋体" w:hAnsi="宋体" w:hint="eastAsia"/>
          <w:szCs w:val="21"/>
        </w:rPr>
        <w:t>溴鼠灵</w:t>
      </w:r>
      <w:proofErr w:type="gramEnd"/>
      <w:r w:rsidR="00516643">
        <w:rPr>
          <w:rFonts w:ascii="宋体" w:eastAsia="宋体" w:hAnsi="宋体" w:hint="eastAsia"/>
          <w:szCs w:val="21"/>
        </w:rPr>
        <w:t>毒饵（蜡块）、溴敌隆毒饵（蜡块）、立刻命、杀它仗等。</w:t>
      </w:r>
    </w:p>
    <w:p w:rsidR="00C83713" w:rsidRPr="00C83713" w:rsidRDefault="00316C2A" w:rsidP="00516643">
      <w:pPr>
        <w:ind w:left="504"/>
        <w:rPr>
          <w:rFonts w:ascii="宋体" w:eastAsia="宋体" w:hAnsi="宋体"/>
          <w:szCs w:val="21"/>
        </w:rPr>
      </w:pPr>
      <w:r>
        <w:rPr>
          <w:rFonts w:ascii="宋体" w:eastAsia="宋体" w:hAnsi="宋体"/>
          <w:szCs w:val="21"/>
        </w:rPr>
        <w:t>5</w:t>
      </w:r>
      <w:r w:rsidR="00C83713">
        <w:rPr>
          <w:rFonts w:ascii="宋体" w:eastAsia="宋体" w:hAnsi="宋体"/>
          <w:szCs w:val="21"/>
        </w:rPr>
        <w:t>.</w:t>
      </w:r>
      <w:proofErr w:type="gramStart"/>
      <w:r w:rsidR="00C83713">
        <w:rPr>
          <w:rFonts w:ascii="宋体" w:eastAsia="宋体" w:hAnsi="宋体" w:hint="eastAsia"/>
          <w:szCs w:val="21"/>
        </w:rPr>
        <w:t>灭</w:t>
      </w:r>
      <w:proofErr w:type="gramEnd"/>
      <w:r w:rsidR="00C83713">
        <w:rPr>
          <w:rFonts w:ascii="宋体" w:eastAsia="宋体" w:hAnsi="宋体" w:hint="eastAsia"/>
          <w:szCs w:val="21"/>
        </w:rPr>
        <w:t>蚊蝇使用药剂：</w:t>
      </w:r>
      <w:r w:rsidR="00C83713" w:rsidRPr="00C83713">
        <w:rPr>
          <w:rFonts w:ascii="宋体" w:eastAsia="宋体" w:hAnsi="宋体"/>
          <w:szCs w:val="21"/>
        </w:rPr>
        <w:t>普顿(2.5%溴氰菊酯)、高效氯氰菊酯悬浮剂、奋斗呐、大灭、拜灭敌、杀蝇</w:t>
      </w:r>
      <w:proofErr w:type="gramStart"/>
      <w:r w:rsidR="00C83713" w:rsidRPr="00C83713">
        <w:rPr>
          <w:rFonts w:ascii="宋体" w:eastAsia="宋体" w:hAnsi="宋体"/>
          <w:szCs w:val="21"/>
        </w:rPr>
        <w:t>饵</w:t>
      </w:r>
      <w:proofErr w:type="gramEnd"/>
      <w:r w:rsidR="00C83713" w:rsidRPr="00C83713">
        <w:rPr>
          <w:rFonts w:ascii="宋体" w:eastAsia="宋体" w:hAnsi="宋体"/>
          <w:szCs w:val="21"/>
        </w:rPr>
        <w:t>剂、都灭 5%悬浮剂等。</w:t>
      </w:r>
    </w:p>
    <w:p w:rsidR="00516643" w:rsidRDefault="00316C2A" w:rsidP="00516643">
      <w:pPr>
        <w:ind w:left="504"/>
        <w:rPr>
          <w:rFonts w:ascii="宋体" w:eastAsia="宋体" w:hAnsi="宋体"/>
          <w:szCs w:val="21"/>
        </w:rPr>
      </w:pPr>
      <w:r>
        <w:rPr>
          <w:rFonts w:ascii="宋体" w:eastAsia="宋体" w:hAnsi="宋体"/>
          <w:szCs w:val="21"/>
        </w:rPr>
        <w:t>6</w:t>
      </w:r>
      <w:r w:rsidR="00516643">
        <w:rPr>
          <w:rFonts w:ascii="宋体" w:eastAsia="宋体" w:hAnsi="宋体"/>
          <w:szCs w:val="21"/>
        </w:rPr>
        <w:t>.</w:t>
      </w:r>
      <w:r w:rsidR="00516643">
        <w:rPr>
          <w:rFonts w:ascii="宋体" w:eastAsia="宋体" w:hAnsi="宋体" w:hint="eastAsia"/>
          <w:szCs w:val="21"/>
        </w:rPr>
        <w:t>满意度评价需达到8</w:t>
      </w:r>
      <w:r w:rsidR="00516643">
        <w:rPr>
          <w:rFonts w:ascii="宋体" w:eastAsia="宋体" w:hAnsi="宋体"/>
          <w:szCs w:val="21"/>
        </w:rPr>
        <w:t>5</w:t>
      </w:r>
      <w:r w:rsidR="00516643">
        <w:rPr>
          <w:rFonts w:ascii="宋体" w:eastAsia="宋体" w:hAnsi="宋体" w:hint="eastAsia"/>
          <w:szCs w:val="21"/>
        </w:rPr>
        <w:t>%以上。</w:t>
      </w:r>
    </w:p>
    <w:p w:rsidR="00491CB5" w:rsidRPr="00491CB5" w:rsidRDefault="001626C3" w:rsidP="00491CB5">
      <w:pPr>
        <w:ind w:left="504"/>
        <w:rPr>
          <w:rFonts w:ascii="宋体" w:eastAsia="宋体" w:hAnsi="宋体"/>
          <w:szCs w:val="21"/>
        </w:rPr>
      </w:pPr>
      <w:r>
        <w:rPr>
          <w:rFonts w:ascii="宋体" w:eastAsia="宋体" w:hAnsi="宋体"/>
          <w:szCs w:val="21"/>
        </w:rPr>
        <w:t>7</w:t>
      </w:r>
      <w:r w:rsidR="00491CB5" w:rsidRPr="00491CB5">
        <w:rPr>
          <w:rFonts w:ascii="宋体" w:eastAsia="宋体" w:hAnsi="宋体"/>
          <w:szCs w:val="21"/>
        </w:rPr>
        <w:t>.人员配置：现场主管1名，工作人员不少于6名。工作人员工作前，根据不同工作岗位，进行专业培训。</w:t>
      </w:r>
    </w:p>
    <w:p w:rsidR="00491CB5" w:rsidRPr="00491CB5" w:rsidRDefault="001626C3" w:rsidP="00491CB5">
      <w:pPr>
        <w:ind w:left="504"/>
        <w:rPr>
          <w:rFonts w:ascii="宋体" w:eastAsia="宋体" w:hAnsi="宋体"/>
          <w:szCs w:val="21"/>
        </w:rPr>
      </w:pPr>
      <w:r>
        <w:rPr>
          <w:rFonts w:ascii="宋体" w:eastAsia="宋体" w:hAnsi="宋体"/>
          <w:szCs w:val="21"/>
        </w:rPr>
        <w:t>8</w:t>
      </w:r>
      <w:r w:rsidR="00491CB5" w:rsidRPr="00491CB5">
        <w:rPr>
          <w:rFonts w:ascii="宋体" w:eastAsia="宋体" w:hAnsi="宋体"/>
          <w:szCs w:val="21"/>
        </w:rPr>
        <w:t>.投标人在约定时间内，必须安全、高质量完成各院区的病媒生物消杀作业。</w:t>
      </w:r>
    </w:p>
    <w:p w:rsidR="00491CB5" w:rsidRPr="00491CB5" w:rsidRDefault="001626C3" w:rsidP="00491CB5">
      <w:pPr>
        <w:ind w:left="504"/>
        <w:rPr>
          <w:rFonts w:ascii="宋体" w:eastAsia="宋体" w:hAnsi="宋体"/>
          <w:szCs w:val="21"/>
        </w:rPr>
      </w:pPr>
      <w:r>
        <w:rPr>
          <w:rFonts w:ascii="宋体" w:eastAsia="宋体" w:hAnsi="宋体"/>
          <w:szCs w:val="21"/>
        </w:rPr>
        <w:t>9</w:t>
      </w:r>
      <w:r w:rsidR="00491CB5" w:rsidRPr="00491CB5">
        <w:rPr>
          <w:rFonts w:ascii="宋体" w:eastAsia="宋体" w:hAnsi="宋体"/>
          <w:szCs w:val="21"/>
        </w:rPr>
        <w:t>.投标人有足够的技术力量和机械设备以完成消</w:t>
      </w:r>
      <w:proofErr w:type="gramStart"/>
      <w:r w:rsidR="00491CB5" w:rsidRPr="00491CB5">
        <w:rPr>
          <w:rFonts w:ascii="宋体" w:eastAsia="宋体" w:hAnsi="宋体"/>
          <w:szCs w:val="21"/>
        </w:rPr>
        <w:t>杀现场</w:t>
      </w:r>
      <w:proofErr w:type="gramEnd"/>
      <w:r w:rsidR="00491CB5" w:rsidRPr="00491CB5">
        <w:rPr>
          <w:rFonts w:ascii="宋体" w:eastAsia="宋体" w:hAnsi="宋体"/>
          <w:szCs w:val="21"/>
        </w:rPr>
        <w:t>的防治工作。</w:t>
      </w:r>
    </w:p>
    <w:p w:rsidR="00491CB5" w:rsidRPr="00491CB5" w:rsidRDefault="001626C3" w:rsidP="00491CB5">
      <w:pPr>
        <w:ind w:left="504"/>
        <w:rPr>
          <w:rFonts w:ascii="宋体" w:eastAsia="宋体" w:hAnsi="宋体"/>
          <w:szCs w:val="21"/>
        </w:rPr>
      </w:pPr>
      <w:r>
        <w:rPr>
          <w:rFonts w:ascii="宋体" w:eastAsia="宋体" w:hAnsi="宋体"/>
          <w:szCs w:val="21"/>
        </w:rPr>
        <w:t>10</w:t>
      </w:r>
      <w:r w:rsidR="00491CB5" w:rsidRPr="00491CB5">
        <w:rPr>
          <w:rFonts w:ascii="宋体" w:eastAsia="宋体" w:hAnsi="宋体"/>
          <w:szCs w:val="21"/>
        </w:rPr>
        <w:t>.投标人施工现场药品、器械须妥善保管，施工产生的特殊垃圾及剩余药品及时整理清场。</w:t>
      </w:r>
    </w:p>
    <w:p w:rsidR="00491CB5" w:rsidRPr="00491CB5" w:rsidRDefault="001626C3" w:rsidP="00491CB5">
      <w:pPr>
        <w:ind w:left="504"/>
        <w:rPr>
          <w:rFonts w:ascii="宋体" w:eastAsia="宋体" w:hAnsi="宋体"/>
          <w:szCs w:val="21"/>
        </w:rPr>
      </w:pPr>
      <w:r>
        <w:rPr>
          <w:rFonts w:ascii="宋体" w:eastAsia="宋体" w:hAnsi="宋体"/>
          <w:szCs w:val="21"/>
        </w:rPr>
        <w:t>11</w:t>
      </w:r>
      <w:r w:rsidR="00491CB5" w:rsidRPr="00491CB5">
        <w:rPr>
          <w:rFonts w:ascii="宋体" w:eastAsia="宋体" w:hAnsi="宋体"/>
          <w:szCs w:val="21"/>
        </w:rPr>
        <w:t>.所用机械器具符合国家标准</w:t>
      </w:r>
      <w:r w:rsidR="009F12C9">
        <w:rPr>
          <w:rFonts w:ascii="宋体" w:eastAsia="宋体" w:hAnsi="宋体" w:hint="eastAsia"/>
          <w:szCs w:val="21"/>
        </w:rPr>
        <w:t>,</w:t>
      </w:r>
      <w:r w:rsidR="00491CB5" w:rsidRPr="00491CB5">
        <w:rPr>
          <w:rFonts w:ascii="宋体" w:eastAsia="宋体" w:hAnsi="宋体"/>
          <w:szCs w:val="21"/>
        </w:rPr>
        <w:t>所用药品须环保低毒，对现场人员、环境不会造成影</w:t>
      </w:r>
      <w:r w:rsidR="00491CB5" w:rsidRPr="00491CB5">
        <w:rPr>
          <w:rFonts w:ascii="宋体" w:eastAsia="宋体" w:hAnsi="宋体"/>
          <w:szCs w:val="21"/>
        </w:rPr>
        <w:lastRenderedPageBreak/>
        <w:t>响，必须符合呼吸科等特殊科室的卫生要求。</w:t>
      </w:r>
    </w:p>
    <w:p w:rsidR="00491CB5" w:rsidRPr="00491CB5" w:rsidRDefault="00D261E4" w:rsidP="00491CB5">
      <w:pPr>
        <w:ind w:left="504"/>
        <w:rPr>
          <w:rFonts w:ascii="宋体" w:eastAsia="宋体" w:hAnsi="宋体"/>
          <w:szCs w:val="21"/>
        </w:rPr>
      </w:pPr>
      <w:r>
        <w:rPr>
          <w:rFonts w:ascii="宋体" w:eastAsia="宋体" w:hAnsi="宋体"/>
          <w:szCs w:val="21"/>
        </w:rPr>
        <w:t>12</w:t>
      </w:r>
      <w:r w:rsidR="00491CB5" w:rsidRPr="00491CB5">
        <w:rPr>
          <w:rFonts w:ascii="宋体" w:eastAsia="宋体" w:hAnsi="宋体"/>
          <w:szCs w:val="21"/>
        </w:rPr>
        <w:t>.药剂应选择对人无毒、无味、无刺激性产品，</w:t>
      </w:r>
      <w:r w:rsidR="001626C3">
        <w:rPr>
          <w:rFonts w:ascii="宋体" w:eastAsia="宋体" w:hAnsi="宋体" w:hint="eastAsia"/>
          <w:szCs w:val="21"/>
        </w:rPr>
        <w:t>全新未拆封，</w:t>
      </w:r>
      <w:r w:rsidR="00491CB5" w:rsidRPr="00491CB5">
        <w:rPr>
          <w:rFonts w:ascii="宋体" w:eastAsia="宋体" w:hAnsi="宋体"/>
          <w:szCs w:val="21"/>
        </w:rPr>
        <w:t>药品均需提供《药品安全资料(MSDS)》</w:t>
      </w:r>
      <w:r w:rsidR="001626C3">
        <w:rPr>
          <w:rFonts w:ascii="宋体" w:eastAsia="宋体" w:hAnsi="宋体" w:hint="eastAsia"/>
          <w:szCs w:val="21"/>
        </w:rPr>
        <w:t>。</w:t>
      </w:r>
    </w:p>
    <w:p w:rsidR="008E4DFD" w:rsidRPr="008E4DFD" w:rsidRDefault="008E4DFD" w:rsidP="00D261E4">
      <w:pPr>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7C54F6" w:rsidRDefault="007E3033" w:rsidP="00FD1D20">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95091E">
        <w:rPr>
          <w:rFonts w:ascii="宋体" w:eastAsia="宋体" w:hAnsi="宋体"/>
          <w:szCs w:val="21"/>
        </w:rPr>
        <w:t>2</w:t>
      </w:r>
      <w:r>
        <w:rPr>
          <w:rFonts w:ascii="宋体" w:eastAsia="宋体" w:hAnsi="宋体" w:hint="eastAsia"/>
          <w:szCs w:val="21"/>
        </w:rPr>
        <w:t>年</w:t>
      </w:r>
      <w:r w:rsidR="00741482">
        <w:rPr>
          <w:rFonts w:ascii="宋体" w:eastAsia="宋体" w:hAnsi="宋体"/>
          <w:szCs w:val="21"/>
        </w:rPr>
        <w:t>3</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w:t>
      </w:r>
      <w:r w:rsidR="009815D9">
        <w:rPr>
          <w:rFonts w:ascii="宋体" w:eastAsia="宋体" w:hAnsi="宋体" w:hint="eastAsia"/>
          <w:szCs w:val="21"/>
        </w:rPr>
        <w:t>服务</w:t>
      </w:r>
      <w:r>
        <w:rPr>
          <w:rFonts w:ascii="宋体" w:eastAsia="宋体" w:hAnsi="宋体" w:hint="eastAsia"/>
          <w:szCs w:val="21"/>
        </w:rPr>
        <w:t>期、服务承诺、实施方案等承诺。（加盖单位公章）。</w:t>
      </w:r>
    </w:p>
    <w:p w:rsidR="00A62085"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p w:rsidR="00064290" w:rsidRDefault="00064290" w:rsidP="00064290">
      <w:pPr>
        <w:ind w:firstLineChars="200" w:firstLine="480"/>
        <w:jc w:val="center"/>
        <w:rPr>
          <w:rFonts w:ascii="宋体" w:eastAsia="宋体" w:hAnsi="宋体"/>
          <w:sz w:val="24"/>
          <w:szCs w:val="21"/>
        </w:rPr>
      </w:pPr>
      <w:r w:rsidRPr="00064290">
        <w:rPr>
          <w:rFonts w:ascii="宋体" w:eastAsia="宋体" w:hAnsi="宋体" w:hint="eastAsia"/>
          <w:sz w:val="24"/>
          <w:szCs w:val="21"/>
        </w:rPr>
        <w:t>报价单</w:t>
      </w:r>
    </w:p>
    <w:tbl>
      <w:tblPr>
        <w:tblStyle w:val="ae"/>
        <w:tblW w:w="0" w:type="auto"/>
        <w:jc w:val="center"/>
        <w:tblLook w:val="04A0" w:firstRow="1" w:lastRow="0" w:firstColumn="1" w:lastColumn="0" w:noHBand="0" w:noVBand="1"/>
      </w:tblPr>
      <w:tblGrid>
        <w:gridCol w:w="443"/>
        <w:gridCol w:w="686"/>
        <w:gridCol w:w="1276"/>
        <w:gridCol w:w="1401"/>
        <w:gridCol w:w="850"/>
        <w:gridCol w:w="1161"/>
        <w:gridCol w:w="1270"/>
        <w:gridCol w:w="1209"/>
      </w:tblGrid>
      <w:tr w:rsidR="00183598" w:rsidRPr="00183598" w:rsidTr="00183598">
        <w:trPr>
          <w:jc w:val="center"/>
        </w:trPr>
        <w:tc>
          <w:tcPr>
            <w:tcW w:w="443" w:type="dxa"/>
            <w:vAlign w:val="center"/>
          </w:tcPr>
          <w:p w:rsidR="00183598" w:rsidRPr="00183598" w:rsidRDefault="00183598" w:rsidP="005343C3">
            <w:pPr>
              <w:jc w:val="center"/>
              <w:rPr>
                <w:rFonts w:ascii="宋体" w:eastAsia="宋体" w:hAnsi="宋体"/>
                <w:szCs w:val="21"/>
              </w:rPr>
            </w:pPr>
          </w:p>
        </w:tc>
        <w:tc>
          <w:tcPr>
            <w:tcW w:w="68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消</w:t>
            </w:r>
            <w:proofErr w:type="gramStart"/>
            <w:r w:rsidRPr="00183598">
              <w:rPr>
                <w:rFonts w:ascii="宋体" w:eastAsia="宋体" w:hAnsi="宋体" w:hint="eastAsia"/>
                <w:szCs w:val="21"/>
              </w:rPr>
              <w:t>杀方式</w:t>
            </w:r>
            <w:proofErr w:type="gramEnd"/>
          </w:p>
        </w:tc>
        <w:tc>
          <w:tcPr>
            <w:tcW w:w="127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防治范围</w:t>
            </w:r>
          </w:p>
        </w:tc>
        <w:tc>
          <w:tcPr>
            <w:tcW w:w="140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消杀频次</w:t>
            </w:r>
          </w:p>
        </w:tc>
        <w:tc>
          <w:tcPr>
            <w:tcW w:w="850"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数量（次）</w:t>
            </w:r>
          </w:p>
        </w:tc>
        <w:tc>
          <w:tcPr>
            <w:tcW w:w="116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消杀面积（㎡）</w:t>
            </w:r>
          </w:p>
        </w:tc>
        <w:tc>
          <w:tcPr>
            <w:tcW w:w="1270" w:type="dxa"/>
            <w:vAlign w:val="center"/>
          </w:tcPr>
          <w:p w:rsidR="00183598" w:rsidRDefault="00183598" w:rsidP="005343C3">
            <w:pPr>
              <w:jc w:val="center"/>
              <w:rPr>
                <w:rFonts w:ascii="宋体" w:eastAsia="宋体" w:hAnsi="宋体"/>
                <w:szCs w:val="21"/>
              </w:rPr>
            </w:pPr>
            <w:r w:rsidRPr="00183598">
              <w:rPr>
                <w:rFonts w:ascii="宋体" w:eastAsia="宋体" w:hAnsi="宋体" w:hint="eastAsia"/>
                <w:szCs w:val="21"/>
              </w:rPr>
              <w:t>单价</w:t>
            </w:r>
          </w:p>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（元/㎡）</w:t>
            </w:r>
          </w:p>
        </w:tc>
        <w:tc>
          <w:tcPr>
            <w:tcW w:w="1209"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合计（元）</w:t>
            </w:r>
          </w:p>
        </w:tc>
      </w:tr>
      <w:tr w:rsidR="00183598" w:rsidRPr="00183598" w:rsidTr="00183598">
        <w:trPr>
          <w:jc w:val="center"/>
        </w:trPr>
        <w:tc>
          <w:tcPr>
            <w:tcW w:w="443"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1</w:t>
            </w:r>
          </w:p>
        </w:tc>
        <w:tc>
          <w:tcPr>
            <w:tcW w:w="68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一般消杀</w:t>
            </w:r>
          </w:p>
        </w:tc>
        <w:tc>
          <w:tcPr>
            <w:tcW w:w="127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西直门、白塔寺、通州院区</w:t>
            </w:r>
          </w:p>
        </w:tc>
        <w:tc>
          <w:tcPr>
            <w:tcW w:w="140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每季度</w:t>
            </w:r>
            <w:r w:rsidRPr="00183598">
              <w:rPr>
                <w:rFonts w:ascii="宋体" w:eastAsia="宋体" w:hAnsi="宋体"/>
                <w:szCs w:val="21"/>
              </w:rPr>
              <w:t>/次(大规模覆盖)，4次/年</w:t>
            </w:r>
          </w:p>
        </w:tc>
        <w:tc>
          <w:tcPr>
            <w:tcW w:w="850"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szCs w:val="21"/>
              </w:rPr>
              <w:t>8</w:t>
            </w:r>
          </w:p>
        </w:tc>
        <w:tc>
          <w:tcPr>
            <w:tcW w:w="116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2</w:t>
            </w:r>
            <w:r w:rsidRPr="00183598">
              <w:rPr>
                <w:rFonts w:ascii="宋体" w:eastAsia="宋体" w:hAnsi="宋体"/>
                <w:szCs w:val="21"/>
              </w:rPr>
              <w:t>61341.67</w:t>
            </w:r>
          </w:p>
        </w:tc>
        <w:tc>
          <w:tcPr>
            <w:tcW w:w="1270" w:type="dxa"/>
            <w:vAlign w:val="center"/>
          </w:tcPr>
          <w:p w:rsidR="00183598" w:rsidRPr="00183598" w:rsidRDefault="00183598" w:rsidP="005343C3">
            <w:pPr>
              <w:jc w:val="center"/>
              <w:rPr>
                <w:rFonts w:ascii="宋体" w:eastAsia="宋体" w:hAnsi="宋体"/>
                <w:szCs w:val="21"/>
              </w:rPr>
            </w:pPr>
          </w:p>
        </w:tc>
        <w:tc>
          <w:tcPr>
            <w:tcW w:w="1209" w:type="dxa"/>
            <w:vAlign w:val="center"/>
          </w:tcPr>
          <w:p w:rsidR="00183598" w:rsidRPr="00183598" w:rsidRDefault="00183598" w:rsidP="005343C3">
            <w:pPr>
              <w:jc w:val="center"/>
              <w:rPr>
                <w:rFonts w:ascii="宋体" w:eastAsia="宋体" w:hAnsi="宋体"/>
                <w:szCs w:val="21"/>
              </w:rPr>
            </w:pPr>
          </w:p>
        </w:tc>
      </w:tr>
      <w:tr w:rsidR="00183598" w:rsidRPr="00183598" w:rsidTr="00183598">
        <w:trPr>
          <w:jc w:val="center"/>
        </w:trPr>
        <w:tc>
          <w:tcPr>
            <w:tcW w:w="443"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2</w:t>
            </w:r>
          </w:p>
        </w:tc>
        <w:tc>
          <w:tcPr>
            <w:tcW w:w="68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重点消杀</w:t>
            </w:r>
          </w:p>
        </w:tc>
        <w:tc>
          <w:tcPr>
            <w:tcW w:w="1276"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手术室、供应室、病房、食堂</w:t>
            </w:r>
          </w:p>
        </w:tc>
        <w:tc>
          <w:tcPr>
            <w:tcW w:w="140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每月</w:t>
            </w:r>
            <w:r w:rsidRPr="00183598">
              <w:rPr>
                <w:rFonts w:ascii="宋体" w:eastAsia="宋体" w:hAnsi="宋体"/>
                <w:szCs w:val="21"/>
              </w:rPr>
              <w:t>/次(重点区域)，在一般消</w:t>
            </w:r>
            <w:proofErr w:type="gramStart"/>
            <w:r w:rsidRPr="00183598">
              <w:rPr>
                <w:rFonts w:ascii="宋体" w:eastAsia="宋体" w:hAnsi="宋体"/>
                <w:szCs w:val="21"/>
              </w:rPr>
              <w:t>杀基础</w:t>
            </w:r>
            <w:proofErr w:type="gramEnd"/>
            <w:r w:rsidRPr="00183598">
              <w:rPr>
                <w:rFonts w:ascii="宋体" w:eastAsia="宋体" w:hAnsi="宋体"/>
                <w:szCs w:val="21"/>
              </w:rPr>
              <w:t>上增加8次/年</w:t>
            </w:r>
          </w:p>
        </w:tc>
        <w:tc>
          <w:tcPr>
            <w:tcW w:w="850"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szCs w:val="21"/>
              </w:rPr>
              <w:t>16</w:t>
            </w:r>
          </w:p>
        </w:tc>
        <w:tc>
          <w:tcPr>
            <w:tcW w:w="1161" w:type="dxa"/>
            <w:vAlign w:val="center"/>
          </w:tcPr>
          <w:p w:rsidR="00183598" w:rsidRPr="00183598" w:rsidRDefault="00183598" w:rsidP="005343C3">
            <w:pPr>
              <w:jc w:val="center"/>
              <w:rPr>
                <w:rFonts w:ascii="宋体" w:eastAsia="宋体" w:hAnsi="宋体"/>
                <w:szCs w:val="21"/>
              </w:rPr>
            </w:pPr>
            <w:r w:rsidRPr="00183598">
              <w:rPr>
                <w:rFonts w:ascii="宋体" w:eastAsia="宋体" w:hAnsi="宋体" w:hint="eastAsia"/>
                <w:szCs w:val="21"/>
              </w:rPr>
              <w:t>1</w:t>
            </w:r>
            <w:r w:rsidRPr="00183598">
              <w:rPr>
                <w:rFonts w:ascii="宋体" w:eastAsia="宋体" w:hAnsi="宋体"/>
                <w:szCs w:val="21"/>
              </w:rPr>
              <w:t>19598.40</w:t>
            </w:r>
          </w:p>
        </w:tc>
        <w:tc>
          <w:tcPr>
            <w:tcW w:w="1270" w:type="dxa"/>
            <w:vAlign w:val="center"/>
          </w:tcPr>
          <w:p w:rsidR="00183598" w:rsidRPr="00183598" w:rsidRDefault="00183598" w:rsidP="005343C3">
            <w:pPr>
              <w:jc w:val="center"/>
              <w:rPr>
                <w:rFonts w:ascii="宋体" w:eastAsia="宋体" w:hAnsi="宋体"/>
                <w:szCs w:val="21"/>
              </w:rPr>
            </w:pPr>
          </w:p>
        </w:tc>
        <w:tc>
          <w:tcPr>
            <w:tcW w:w="1209" w:type="dxa"/>
            <w:vAlign w:val="center"/>
          </w:tcPr>
          <w:p w:rsidR="00183598" w:rsidRPr="00183598" w:rsidRDefault="00183598" w:rsidP="005343C3">
            <w:pPr>
              <w:jc w:val="center"/>
              <w:rPr>
                <w:rFonts w:ascii="宋体" w:eastAsia="宋体" w:hAnsi="宋体"/>
                <w:szCs w:val="21"/>
              </w:rPr>
            </w:pPr>
          </w:p>
        </w:tc>
      </w:tr>
      <w:tr w:rsidR="00B340D5" w:rsidRPr="00183598" w:rsidTr="00B340D5">
        <w:trPr>
          <w:trHeight w:val="547"/>
          <w:jc w:val="center"/>
        </w:trPr>
        <w:tc>
          <w:tcPr>
            <w:tcW w:w="8296" w:type="dxa"/>
            <w:gridSpan w:val="8"/>
            <w:vAlign w:val="center"/>
          </w:tcPr>
          <w:p w:rsidR="00B340D5" w:rsidRPr="00183598" w:rsidRDefault="00B340D5" w:rsidP="00397BE7">
            <w:pPr>
              <w:rPr>
                <w:rFonts w:ascii="宋体" w:eastAsia="宋体" w:hAnsi="宋体"/>
                <w:szCs w:val="21"/>
              </w:rPr>
            </w:pPr>
            <w:r>
              <w:rPr>
                <w:rFonts w:ascii="宋体" w:eastAsia="宋体" w:hAnsi="宋体" w:hint="eastAsia"/>
                <w:szCs w:val="21"/>
              </w:rPr>
              <w:t xml:space="preserve">总价：（大写金额） </w:t>
            </w:r>
            <w:r>
              <w:rPr>
                <w:rFonts w:ascii="宋体" w:eastAsia="宋体" w:hAnsi="宋体"/>
                <w:szCs w:val="21"/>
              </w:rPr>
              <w:t xml:space="preserve">                              </w:t>
            </w:r>
            <w:r>
              <w:rPr>
                <w:rFonts w:ascii="宋体" w:eastAsia="宋体" w:hAnsi="宋体" w:hint="eastAsia"/>
                <w:szCs w:val="21"/>
              </w:rPr>
              <w:t>（小写金额）</w:t>
            </w:r>
          </w:p>
        </w:tc>
      </w:tr>
    </w:tbl>
    <w:p w:rsidR="00A62085" w:rsidRDefault="007E3033" w:rsidP="00247D75">
      <w:pPr>
        <w:ind w:firstLineChars="200" w:firstLine="420"/>
        <w:jc w:val="left"/>
        <w:rPr>
          <w:rFonts w:ascii="宋体" w:eastAsia="宋体" w:hAnsi="宋体"/>
          <w:szCs w:val="21"/>
        </w:rPr>
      </w:pPr>
      <w:bookmarkStart w:id="1" w:name="_GoBack"/>
      <w:bookmarkEnd w:id="1"/>
      <w:r>
        <w:rPr>
          <w:rFonts w:ascii="宋体" w:eastAsia="宋体" w:hAnsi="宋体" w:hint="eastAsia"/>
          <w:szCs w:val="21"/>
        </w:rPr>
        <w:t>3、项目报价：</w:t>
      </w:r>
      <w:r w:rsidR="00247D75">
        <w:rPr>
          <w:rFonts w:ascii="宋体" w:eastAsia="宋体" w:hAnsi="宋体" w:hint="eastAsia"/>
          <w:szCs w:val="21"/>
        </w:rPr>
        <w:t>报价应包</w:t>
      </w:r>
      <w:r>
        <w:rPr>
          <w:rFonts w:ascii="宋体" w:eastAsia="宋体" w:hAnsi="宋体" w:hint="eastAsia"/>
          <w:szCs w:val="21"/>
        </w:rPr>
        <w:t>含税金等一切费用</w:t>
      </w:r>
      <w:r w:rsidR="00201649">
        <w:rPr>
          <w:rFonts w:ascii="宋体" w:eastAsia="宋体" w:hAnsi="宋体" w:hint="eastAsia"/>
          <w:szCs w:val="21"/>
        </w:rPr>
        <w:t>，</w:t>
      </w:r>
      <w:r w:rsidR="00311570">
        <w:rPr>
          <w:rFonts w:ascii="宋体" w:eastAsia="宋体" w:hAnsi="宋体" w:hint="eastAsia"/>
          <w:szCs w:val="21"/>
        </w:rPr>
        <w:t>用量为预估数量结算</w:t>
      </w:r>
      <w:r w:rsidR="00FD6CE3">
        <w:rPr>
          <w:rFonts w:ascii="宋体" w:eastAsia="宋体" w:hAnsi="宋体" w:hint="eastAsia"/>
          <w:szCs w:val="21"/>
        </w:rPr>
        <w:t>金额</w:t>
      </w:r>
      <w:r w:rsidR="00311570">
        <w:rPr>
          <w:rFonts w:ascii="宋体" w:eastAsia="宋体" w:hAnsi="宋体" w:hint="eastAsia"/>
          <w:szCs w:val="21"/>
        </w:rPr>
        <w:t>以实际发生为准</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lastRenderedPageBreak/>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76"/>
        <w:gridCol w:w="5528"/>
        <w:gridCol w:w="1103"/>
      </w:tblGrid>
      <w:tr w:rsidR="00247D75" w:rsidRPr="00305C23" w:rsidTr="00B66C2F">
        <w:trPr>
          <w:trHeight w:val="380"/>
          <w:jc w:val="center"/>
        </w:trPr>
        <w:tc>
          <w:tcPr>
            <w:tcW w:w="735"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评分项目</w:t>
            </w:r>
          </w:p>
        </w:tc>
        <w:tc>
          <w:tcPr>
            <w:tcW w:w="1276"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评审因素</w:t>
            </w:r>
          </w:p>
        </w:tc>
        <w:tc>
          <w:tcPr>
            <w:tcW w:w="5528"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评分标准说明</w:t>
            </w:r>
          </w:p>
        </w:tc>
        <w:tc>
          <w:tcPr>
            <w:tcW w:w="1103"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分值</w:t>
            </w:r>
          </w:p>
        </w:tc>
      </w:tr>
      <w:tr w:rsidR="00247D75" w:rsidRPr="00305C23" w:rsidTr="00B66C2F">
        <w:trPr>
          <w:trHeight w:val="988"/>
          <w:jc w:val="center"/>
        </w:trPr>
        <w:tc>
          <w:tcPr>
            <w:tcW w:w="735"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价格部分</w:t>
            </w:r>
          </w:p>
        </w:tc>
        <w:tc>
          <w:tcPr>
            <w:tcW w:w="1276"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价格分</w:t>
            </w:r>
          </w:p>
        </w:tc>
        <w:tc>
          <w:tcPr>
            <w:tcW w:w="5528"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满足采购文件需求的最低投标报价为评标基准价，其价格为满分。其他合格投标人的价格</w:t>
            </w:r>
            <w:proofErr w:type="gramStart"/>
            <w:r w:rsidRPr="00627237">
              <w:rPr>
                <w:rFonts w:cstheme="minorBidi"/>
                <w:kern w:val="2"/>
                <w:sz w:val="21"/>
                <w:szCs w:val="21"/>
              </w:rPr>
              <w:t>分统一</w:t>
            </w:r>
            <w:proofErr w:type="gramEnd"/>
            <w:r w:rsidRPr="00627237">
              <w:rPr>
                <w:rFonts w:cstheme="minorBidi"/>
                <w:kern w:val="2"/>
                <w:sz w:val="21"/>
                <w:szCs w:val="21"/>
              </w:rPr>
              <w:t>按照下列公式计算：投标报价得分＝（评标基准价/投标报价）×100%×20。</w:t>
            </w:r>
          </w:p>
        </w:tc>
        <w:tc>
          <w:tcPr>
            <w:tcW w:w="1103" w:type="dxa"/>
            <w:vAlign w:val="center"/>
          </w:tcPr>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20</w:t>
            </w:r>
          </w:p>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（0-20）</w:t>
            </w:r>
          </w:p>
        </w:tc>
      </w:tr>
      <w:tr w:rsidR="00247D75" w:rsidRPr="00305C23" w:rsidTr="00B66C2F">
        <w:trPr>
          <w:jc w:val="center"/>
        </w:trPr>
        <w:tc>
          <w:tcPr>
            <w:tcW w:w="735" w:type="dxa"/>
            <w:vMerge w:val="restart"/>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商务</w:t>
            </w:r>
          </w:p>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部分</w:t>
            </w:r>
          </w:p>
        </w:tc>
        <w:tc>
          <w:tcPr>
            <w:tcW w:w="1276"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1.投标文件质量</w:t>
            </w:r>
          </w:p>
        </w:tc>
        <w:tc>
          <w:tcPr>
            <w:tcW w:w="5528"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有目录索引、页码无错乱、标题、编号、正文、表格等排版规范得4分，每出现一个错误扣1分，扣完为止。</w:t>
            </w:r>
          </w:p>
        </w:tc>
        <w:tc>
          <w:tcPr>
            <w:tcW w:w="1103" w:type="dxa"/>
            <w:vAlign w:val="center"/>
          </w:tcPr>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4</w:t>
            </w:r>
          </w:p>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（0-4）</w:t>
            </w:r>
          </w:p>
        </w:tc>
      </w:tr>
      <w:tr w:rsidR="00247D75" w:rsidRPr="00305C23" w:rsidTr="00B66C2F">
        <w:trPr>
          <w:jc w:val="center"/>
        </w:trPr>
        <w:tc>
          <w:tcPr>
            <w:tcW w:w="735" w:type="dxa"/>
            <w:vMerge/>
            <w:vAlign w:val="center"/>
          </w:tcPr>
          <w:p w:rsidR="00247D75" w:rsidRPr="00627237" w:rsidRDefault="00247D75" w:rsidP="00B66C2F">
            <w:pPr>
              <w:pStyle w:val="a8"/>
              <w:spacing w:line="360" w:lineRule="auto"/>
              <w:rPr>
                <w:rFonts w:cstheme="minorBidi"/>
                <w:kern w:val="2"/>
                <w:sz w:val="21"/>
                <w:szCs w:val="21"/>
              </w:rPr>
            </w:pPr>
          </w:p>
        </w:tc>
        <w:tc>
          <w:tcPr>
            <w:tcW w:w="1276"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2.企业实力</w:t>
            </w:r>
          </w:p>
        </w:tc>
        <w:tc>
          <w:tcPr>
            <w:tcW w:w="5528"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①提供有效的质量管理体系认证证书；②提供有效的环境管理体系认证证书；③提供有效的职业健康安全管理体系认证证书。须提供相关证书复印件并加盖单位公章,每一个得2分，最多6分，未提供得 0 分。</w:t>
            </w:r>
          </w:p>
        </w:tc>
        <w:tc>
          <w:tcPr>
            <w:tcW w:w="1103" w:type="dxa"/>
            <w:vAlign w:val="center"/>
          </w:tcPr>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6</w:t>
            </w:r>
          </w:p>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（0-6）</w:t>
            </w:r>
          </w:p>
        </w:tc>
      </w:tr>
      <w:tr w:rsidR="00247D75" w:rsidRPr="00305C23" w:rsidTr="00B66C2F">
        <w:trPr>
          <w:trHeight w:val="341"/>
          <w:jc w:val="center"/>
        </w:trPr>
        <w:tc>
          <w:tcPr>
            <w:tcW w:w="735" w:type="dxa"/>
            <w:vMerge/>
            <w:vAlign w:val="center"/>
          </w:tcPr>
          <w:p w:rsidR="00247D75" w:rsidRPr="00627237" w:rsidRDefault="00247D75" w:rsidP="00B66C2F">
            <w:pPr>
              <w:pStyle w:val="a8"/>
              <w:spacing w:line="360" w:lineRule="auto"/>
              <w:rPr>
                <w:rFonts w:cstheme="minorBidi"/>
                <w:kern w:val="2"/>
                <w:sz w:val="21"/>
                <w:szCs w:val="21"/>
              </w:rPr>
            </w:pPr>
          </w:p>
        </w:tc>
        <w:tc>
          <w:tcPr>
            <w:tcW w:w="1276"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3.投标人类似项目案例</w:t>
            </w:r>
          </w:p>
        </w:tc>
        <w:tc>
          <w:tcPr>
            <w:tcW w:w="5528" w:type="dxa"/>
            <w:vAlign w:val="center"/>
          </w:tcPr>
          <w:p w:rsidR="00247D75" w:rsidRPr="00627237" w:rsidRDefault="00247D75" w:rsidP="00B66C2F">
            <w:pPr>
              <w:pStyle w:val="a8"/>
              <w:spacing w:line="360" w:lineRule="auto"/>
              <w:rPr>
                <w:rFonts w:cstheme="minorBidi"/>
                <w:kern w:val="2"/>
                <w:sz w:val="21"/>
                <w:szCs w:val="21"/>
              </w:rPr>
            </w:pPr>
            <w:r w:rsidRPr="00627237">
              <w:rPr>
                <w:rFonts w:cstheme="minorBidi"/>
                <w:kern w:val="2"/>
                <w:sz w:val="21"/>
                <w:szCs w:val="21"/>
              </w:rPr>
              <w:t>提供近三年（2022年3月至今）内承接过类似项目业绩（至少包含合同首页、</w:t>
            </w:r>
            <w:proofErr w:type="gramStart"/>
            <w:r w:rsidRPr="00627237">
              <w:rPr>
                <w:rFonts w:cstheme="minorBidi"/>
                <w:kern w:val="2"/>
                <w:sz w:val="21"/>
                <w:szCs w:val="21"/>
              </w:rPr>
              <w:t>签章页并加盖</w:t>
            </w:r>
            <w:proofErr w:type="gramEnd"/>
            <w:r w:rsidRPr="00627237">
              <w:rPr>
                <w:rFonts w:cstheme="minorBidi"/>
                <w:kern w:val="2"/>
                <w:sz w:val="21"/>
                <w:szCs w:val="21"/>
              </w:rPr>
              <w:t>公章）。有一个得2分，最多得10分，没有不得分。</w:t>
            </w:r>
          </w:p>
        </w:tc>
        <w:tc>
          <w:tcPr>
            <w:tcW w:w="1103" w:type="dxa"/>
            <w:vAlign w:val="center"/>
          </w:tcPr>
          <w:p w:rsidR="00247D75"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1</w:t>
            </w:r>
            <w:r w:rsidR="00247D75" w:rsidRPr="00627237">
              <w:rPr>
                <w:rFonts w:cstheme="minorBidi"/>
                <w:kern w:val="2"/>
                <w:sz w:val="21"/>
                <w:szCs w:val="21"/>
              </w:rPr>
              <w:t>0</w:t>
            </w:r>
          </w:p>
          <w:p w:rsidR="00247D75" w:rsidRPr="00627237" w:rsidRDefault="00247D75" w:rsidP="00B66C2F">
            <w:pPr>
              <w:pStyle w:val="a8"/>
              <w:spacing w:line="360" w:lineRule="auto"/>
              <w:jc w:val="center"/>
              <w:rPr>
                <w:rFonts w:cstheme="minorBidi"/>
                <w:kern w:val="2"/>
                <w:sz w:val="21"/>
                <w:szCs w:val="21"/>
              </w:rPr>
            </w:pPr>
            <w:r w:rsidRPr="00627237">
              <w:rPr>
                <w:rFonts w:cstheme="minorBidi"/>
                <w:kern w:val="2"/>
                <w:sz w:val="21"/>
                <w:szCs w:val="21"/>
              </w:rPr>
              <w:t>（0-10）</w:t>
            </w:r>
          </w:p>
        </w:tc>
      </w:tr>
      <w:tr w:rsidR="00D81C17" w:rsidRPr="00305C23" w:rsidTr="00B66C2F">
        <w:trPr>
          <w:trHeight w:val="1042"/>
          <w:jc w:val="center"/>
        </w:trPr>
        <w:tc>
          <w:tcPr>
            <w:tcW w:w="735" w:type="dxa"/>
            <w:vMerge w:val="restart"/>
            <w:vAlign w:val="center"/>
          </w:tcPr>
          <w:p w:rsidR="00D81C17" w:rsidRPr="00627237" w:rsidRDefault="00D81C17" w:rsidP="00B66C2F">
            <w:pPr>
              <w:pStyle w:val="a8"/>
              <w:spacing w:line="360" w:lineRule="auto"/>
              <w:rPr>
                <w:rFonts w:cstheme="minorBidi"/>
                <w:kern w:val="2"/>
                <w:sz w:val="21"/>
                <w:szCs w:val="21"/>
              </w:rPr>
            </w:pPr>
            <w:r w:rsidRPr="00627237">
              <w:rPr>
                <w:rFonts w:cstheme="minorBidi"/>
                <w:kern w:val="2"/>
                <w:sz w:val="21"/>
                <w:szCs w:val="21"/>
              </w:rPr>
              <w:t>技术</w:t>
            </w:r>
          </w:p>
          <w:p w:rsidR="00D81C17" w:rsidRPr="00627237" w:rsidRDefault="00D81C17" w:rsidP="00B66C2F">
            <w:pPr>
              <w:pStyle w:val="a8"/>
              <w:spacing w:line="360" w:lineRule="auto"/>
              <w:rPr>
                <w:rFonts w:cstheme="minorBidi"/>
                <w:kern w:val="2"/>
                <w:sz w:val="21"/>
                <w:szCs w:val="21"/>
              </w:rPr>
            </w:pPr>
            <w:r w:rsidRPr="00627237">
              <w:rPr>
                <w:rFonts w:cstheme="minorBidi"/>
                <w:kern w:val="2"/>
                <w:sz w:val="21"/>
                <w:szCs w:val="21"/>
              </w:rPr>
              <w:t>部分</w:t>
            </w:r>
          </w:p>
        </w:tc>
        <w:tc>
          <w:tcPr>
            <w:tcW w:w="1276" w:type="dxa"/>
            <w:vAlign w:val="center"/>
          </w:tcPr>
          <w:p w:rsidR="00D81C17" w:rsidRPr="00627237" w:rsidRDefault="00D81C17" w:rsidP="000204EC">
            <w:pPr>
              <w:adjustRightInd w:val="0"/>
              <w:spacing w:line="276" w:lineRule="auto"/>
              <w:textAlignment w:val="baseline"/>
              <w:rPr>
                <w:rFonts w:ascii="宋体" w:eastAsia="宋体" w:hAnsi="宋体"/>
                <w:szCs w:val="21"/>
              </w:rPr>
            </w:pPr>
            <w:r w:rsidRPr="00627237">
              <w:rPr>
                <w:rFonts w:ascii="宋体" w:eastAsia="宋体" w:hAnsi="宋体" w:hint="eastAsia"/>
                <w:szCs w:val="21"/>
              </w:rPr>
              <w:t>1</w:t>
            </w:r>
            <w:r w:rsidRPr="00627237">
              <w:rPr>
                <w:rFonts w:ascii="宋体" w:eastAsia="宋体" w:hAnsi="宋体"/>
                <w:szCs w:val="21"/>
              </w:rPr>
              <w:t>.</w:t>
            </w:r>
            <w:r w:rsidRPr="00627237">
              <w:rPr>
                <w:rFonts w:ascii="宋体" w:eastAsia="宋体" w:hAnsi="宋体" w:hint="eastAsia"/>
                <w:szCs w:val="21"/>
              </w:rPr>
              <w:t>项目要求响应</w:t>
            </w:r>
          </w:p>
        </w:tc>
        <w:tc>
          <w:tcPr>
            <w:tcW w:w="5528" w:type="dxa"/>
            <w:vAlign w:val="center"/>
          </w:tcPr>
          <w:p w:rsidR="00050660" w:rsidRPr="00627237" w:rsidRDefault="00050660" w:rsidP="00050660">
            <w:pPr>
              <w:spacing w:line="276" w:lineRule="auto"/>
              <w:rPr>
                <w:rFonts w:ascii="宋体" w:eastAsia="宋体" w:hAnsi="宋体"/>
                <w:szCs w:val="21"/>
              </w:rPr>
            </w:pPr>
            <w:r w:rsidRPr="00627237">
              <w:rPr>
                <w:rFonts w:ascii="宋体" w:eastAsia="宋体" w:hAnsi="宋体" w:hint="eastAsia"/>
                <w:szCs w:val="21"/>
              </w:rPr>
              <w:t>投标人对本项目的项目要求响应情况：</w:t>
            </w:r>
          </w:p>
          <w:p w:rsidR="00D81C17" w:rsidRPr="00627237" w:rsidRDefault="00050660" w:rsidP="00050660">
            <w:pPr>
              <w:pStyle w:val="a8"/>
              <w:spacing w:line="360" w:lineRule="auto"/>
              <w:rPr>
                <w:rFonts w:cstheme="minorBidi"/>
                <w:kern w:val="2"/>
                <w:sz w:val="21"/>
                <w:szCs w:val="21"/>
              </w:rPr>
            </w:pPr>
            <w:r w:rsidRPr="00627237">
              <w:rPr>
                <w:rFonts w:cstheme="minorBidi" w:hint="eastAsia"/>
                <w:kern w:val="2"/>
                <w:sz w:val="21"/>
                <w:szCs w:val="21"/>
              </w:rPr>
              <w:t>全部满足得</w:t>
            </w:r>
            <w:r w:rsidRPr="00627237">
              <w:rPr>
                <w:rFonts w:cstheme="minorBidi"/>
                <w:kern w:val="2"/>
                <w:sz w:val="21"/>
                <w:szCs w:val="21"/>
              </w:rPr>
              <w:t>10</w:t>
            </w:r>
            <w:r w:rsidRPr="00627237">
              <w:rPr>
                <w:rFonts w:cstheme="minorBidi" w:hint="eastAsia"/>
                <w:kern w:val="2"/>
                <w:sz w:val="21"/>
                <w:szCs w:val="21"/>
              </w:rPr>
              <w:t>分，其中1项不满足扣</w:t>
            </w:r>
            <w:r w:rsidRPr="00627237">
              <w:rPr>
                <w:rFonts w:cstheme="minorBidi"/>
                <w:kern w:val="2"/>
                <w:sz w:val="21"/>
                <w:szCs w:val="21"/>
              </w:rPr>
              <w:t>2</w:t>
            </w:r>
            <w:r w:rsidRPr="00627237">
              <w:rPr>
                <w:rFonts w:cstheme="minorBidi" w:hint="eastAsia"/>
                <w:kern w:val="2"/>
                <w:sz w:val="21"/>
                <w:szCs w:val="21"/>
              </w:rPr>
              <w:t>分，扣完为止。（附偏离表或承诺书）</w:t>
            </w:r>
          </w:p>
        </w:tc>
        <w:tc>
          <w:tcPr>
            <w:tcW w:w="1103" w:type="dxa"/>
            <w:vAlign w:val="center"/>
          </w:tcPr>
          <w:p w:rsidR="001A70F2" w:rsidRPr="00627237" w:rsidRDefault="001A70F2" w:rsidP="001A70F2">
            <w:pPr>
              <w:pStyle w:val="a8"/>
              <w:spacing w:line="360" w:lineRule="auto"/>
              <w:jc w:val="center"/>
              <w:rPr>
                <w:rFonts w:cstheme="minorBidi"/>
                <w:kern w:val="2"/>
                <w:sz w:val="21"/>
                <w:szCs w:val="21"/>
              </w:rPr>
            </w:pPr>
            <w:r w:rsidRPr="00627237">
              <w:rPr>
                <w:rFonts w:cstheme="minorBidi"/>
                <w:kern w:val="2"/>
                <w:sz w:val="21"/>
                <w:szCs w:val="21"/>
              </w:rPr>
              <w:t>10</w:t>
            </w:r>
          </w:p>
          <w:p w:rsidR="00D81C17" w:rsidRPr="00627237" w:rsidRDefault="001A70F2" w:rsidP="001A70F2">
            <w:pPr>
              <w:pStyle w:val="a8"/>
              <w:spacing w:line="360" w:lineRule="auto"/>
              <w:jc w:val="center"/>
              <w:rPr>
                <w:rFonts w:cstheme="minorBidi"/>
                <w:kern w:val="2"/>
                <w:sz w:val="21"/>
                <w:szCs w:val="21"/>
              </w:rPr>
            </w:pPr>
            <w:r w:rsidRPr="00627237">
              <w:rPr>
                <w:rFonts w:cstheme="minorBidi"/>
                <w:kern w:val="2"/>
                <w:sz w:val="21"/>
                <w:szCs w:val="21"/>
              </w:rPr>
              <w:t>（0-10）</w:t>
            </w:r>
          </w:p>
        </w:tc>
      </w:tr>
      <w:tr w:rsidR="00D81C17" w:rsidRPr="00305C23" w:rsidTr="00B66C2F">
        <w:trPr>
          <w:trHeight w:val="1042"/>
          <w:jc w:val="center"/>
        </w:trPr>
        <w:tc>
          <w:tcPr>
            <w:tcW w:w="735" w:type="dxa"/>
            <w:vMerge/>
            <w:vAlign w:val="center"/>
          </w:tcPr>
          <w:p w:rsidR="00D81C17" w:rsidRPr="00627237" w:rsidRDefault="00D81C17" w:rsidP="00B66C2F">
            <w:pPr>
              <w:pStyle w:val="a8"/>
              <w:spacing w:line="360" w:lineRule="auto"/>
              <w:rPr>
                <w:rFonts w:cstheme="minorBidi"/>
                <w:kern w:val="2"/>
                <w:sz w:val="21"/>
                <w:szCs w:val="21"/>
              </w:rPr>
            </w:pPr>
          </w:p>
        </w:tc>
        <w:tc>
          <w:tcPr>
            <w:tcW w:w="1276" w:type="dxa"/>
            <w:vAlign w:val="center"/>
          </w:tcPr>
          <w:p w:rsidR="00D81C17" w:rsidRPr="00627237" w:rsidRDefault="000204EC" w:rsidP="00B66C2F">
            <w:pPr>
              <w:pStyle w:val="a8"/>
              <w:spacing w:line="360" w:lineRule="auto"/>
              <w:rPr>
                <w:rFonts w:cstheme="minorBidi"/>
                <w:kern w:val="2"/>
                <w:sz w:val="21"/>
                <w:szCs w:val="21"/>
              </w:rPr>
            </w:pPr>
            <w:r w:rsidRPr="00627237">
              <w:rPr>
                <w:rFonts w:cstheme="minorBidi"/>
                <w:kern w:val="2"/>
                <w:sz w:val="21"/>
                <w:szCs w:val="21"/>
              </w:rPr>
              <w:t>2.</w:t>
            </w:r>
            <w:r w:rsidRPr="00627237">
              <w:rPr>
                <w:rFonts w:cstheme="minorBidi" w:hint="eastAsia"/>
                <w:kern w:val="2"/>
                <w:sz w:val="21"/>
                <w:szCs w:val="21"/>
              </w:rPr>
              <w:t>.</w:t>
            </w:r>
            <w:r w:rsidR="00D81C17" w:rsidRPr="00627237">
              <w:rPr>
                <w:rFonts w:cstheme="minorBidi"/>
                <w:kern w:val="2"/>
                <w:sz w:val="21"/>
                <w:szCs w:val="21"/>
              </w:rPr>
              <w:t>人员配备评价</w:t>
            </w:r>
          </w:p>
        </w:tc>
        <w:tc>
          <w:tcPr>
            <w:tcW w:w="5528" w:type="dxa"/>
            <w:vAlign w:val="center"/>
          </w:tcPr>
          <w:p w:rsidR="00D81C17" w:rsidRPr="00627237" w:rsidRDefault="00D81C17" w:rsidP="00B66C2F">
            <w:pPr>
              <w:pStyle w:val="a8"/>
              <w:spacing w:line="360" w:lineRule="auto"/>
              <w:rPr>
                <w:rFonts w:cstheme="minorBidi"/>
                <w:kern w:val="2"/>
                <w:sz w:val="21"/>
                <w:szCs w:val="21"/>
              </w:rPr>
            </w:pPr>
            <w:r w:rsidRPr="00627237">
              <w:rPr>
                <w:rFonts w:cstheme="minorBidi"/>
                <w:kern w:val="2"/>
                <w:sz w:val="21"/>
                <w:szCs w:val="21"/>
              </w:rPr>
              <w:t>投标人拟投入项目团队人员数量进行评价：6人以上得5分；4-6人得3分；1-3人得1分，没有得0分。</w:t>
            </w:r>
          </w:p>
        </w:tc>
        <w:tc>
          <w:tcPr>
            <w:tcW w:w="1103" w:type="dxa"/>
            <w:vAlign w:val="center"/>
          </w:tcPr>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5</w:t>
            </w:r>
          </w:p>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（0-5）</w:t>
            </w:r>
          </w:p>
        </w:tc>
      </w:tr>
      <w:tr w:rsidR="00D81C17" w:rsidRPr="00305C23" w:rsidTr="00B66C2F">
        <w:trPr>
          <w:trHeight w:val="1473"/>
          <w:jc w:val="center"/>
        </w:trPr>
        <w:tc>
          <w:tcPr>
            <w:tcW w:w="735" w:type="dxa"/>
            <w:vMerge/>
            <w:vAlign w:val="center"/>
          </w:tcPr>
          <w:p w:rsidR="00D81C17" w:rsidRPr="00627237" w:rsidRDefault="00D81C17" w:rsidP="00B66C2F">
            <w:pPr>
              <w:pStyle w:val="a8"/>
              <w:spacing w:line="360" w:lineRule="auto"/>
              <w:rPr>
                <w:rFonts w:cstheme="minorBidi"/>
                <w:kern w:val="2"/>
                <w:sz w:val="21"/>
                <w:szCs w:val="21"/>
              </w:rPr>
            </w:pPr>
          </w:p>
        </w:tc>
        <w:tc>
          <w:tcPr>
            <w:tcW w:w="1276" w:type="dxa"/>
            <w:vAlign w:val="center"/>
          </w:tcPr>
          <w:p w:rsidR="00D81C17" w:rsidRPr="00627237" w:rsidRDefault="001D7693" w:rsidP="00B66C2F">
            <w:pPr>
              <w:spacing w:line="360" w:lineRule="exact"/>
              <w:rPr>
                <w:rFonts w:ascii="宋体" w:eastAsia="宋体" w:hAnsi="宋体"/>
                <w:szCs w:val="21"/>
              </w:rPr>
            </w:pPr>
            <w:r w:rsidRPr="00627237">
              <w:rPr>
                <w:rFonts w:ascii="宋体" w:eastAsia="宋体" w:hAnsi="宋体"/>
                <w:szCs w:val="21"/>
              </w:rPr>
              <w:t>3</w:t>
            </w:r>
            <w:r w:rsidR="00D81C17" w:rsidRPr="00627237">
              <w:rPr>
                <w:rFonts w:ascii="宋体" w:eastAsia="宋体" w:hAnsi="宋体"/>
                <w:szCs w:val="21"/>
              </w:rPr>
              <w:t>.针对本项目的服务特点、难点分析</w:t>
            </w:r>
          </w:p>
        </w:tc>
        <w:tc>
          <w:tcPr>
            <w:tcW w:w="5528" w:type="dxa"/>
            <w:vAlign w:val="center"/>
          </w:tcPr>
          <w:p w:rsidR="00D81C17" w:rsidRPr="00627237" w:rsidRDefault="00D81C17" w:rsidP="00B66C2F">
            <w:pPr>
              <w:spacing w:line="360" w:lineRule="exact"/>
              <w:rPr>
                <w:rFonts w:ascii="宋体" w:eastAsia="宋体" w:hAnsi="宋体"/>
                <w:szCs w:val="21"/>
              </w:rPr>
            </w:pPr>
            <w:r w:rsidRPr="00627237">
              <w:rPr>
                <w:rFonts w:ascii="宋体" w:eastAsia="宋体" w:hAnsi="宋体"/>
                <w:szCs w:val="21"/>
              </w:rPr>
              <w:t>针对本项目的服务特点、难点分析：服务特点、难点定位准确，分析合理得10分，服务特点、难点定位较为准确，分析较为合理得7分，服务特点、难点定位和分析基本符合但不够全面，得4分。服务特点、难点定位和分析不正确，得0分。</w:t>
            </w:r>
          </w:p>
        </w:tc>
        <w:tc>
          <w:tcPr>
            <w:tcW w:w="1103" w:type="dxa"/>
            <w:vAlign w:val="center"/>
          </w:tcPr>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10</w:t>
            </w:r>
          </w:p>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（0-10）</w:t>
            </w:r>
          </w:p>
        </w:tc>
      </w:tr>
      <w:tr w:rsidR="00D81C17" w:rsidRPr="00305C23" w:rsidTr="00B66C2F">
        <w:trPr>
          <w:trHeight w:val="1266"/>
          <w:jc w:val="center"/>
        </w:trPr>
        <w:tc>
          <w:tcPr>
            <w:tcW w:w="735" w:type="dxa"/>
            <w:vMerge/>
            <w:vAlign w:val="center"/>
          </w:tcPr>
          <w:p w:rsidR="00D81C17" w:rsidRPr="00627237" w:rsidRDefault="00D81C17" w:rsidP="00B66C2F">
            <w:pPr>
              <w:pStyle w:val="a8"/>
              <w:spacing w:line="360" w:lineRule="auto"/>
              <w:rPr>
                <w:rFonts w:cstheme="minorBidi"/>
                <w:kern w:val="2"/>
                <w:sz w:val="21"/>
                <w:szCs w:val="21"/>
              </w:rPr>
            </w:pPr>
          </w:p>
        </w:tc>
        <w:tc>
          <w:tcPr>
            <w:tcW w:w="1276" w:type="dxa"/>
            <w:vAlign w:val="center"/>
          </w:tcPr>
          <w:p w:rsidR="00D81C17" w:rsidRPr="00627237" w:rsidRDefault="001D7693" w:rsidP="00B66C2F">
            <w:pPr>
              <w:spacing w:line="360" w:lineRule="exact"/>
              <w:rPr>
                <w:rFonts w:ascii="宋体" w:eastAsia="宋体" w:hAnsi="宋体"/>
                <w:szCs w:val="21"/>
              </w:rPr>
            </w:pPr>
            <w:r w:rsidRPr="00627237">
              <w:rPr>
                <w:rFonts w:ascii="宋体" w:eastAsia="宋体" w:hAnsi="宋体"/>
                <w:szCs w:val="21"/>
              </w:rPr>
              <w:t>4</w:t>
            </w:r>
            <w:r w:rsidR="00D81C17" w:rsidRPr="00627237">
              <w:rPr>
                <w:rFonts w:ascii="宋体" w:eastAsia="宋体" w:hAnsi="宋体"/>
                <w:szCs w:val="21"/>
              </w:rPr>
              <w:t>.针对本项目的重点工作方案</w:t>
            </w:r>
          </w:p>
        </w:tc>
        <w:tc>
          <w:tcPr>
            <w:tcW w:w="5528" w:type="dxa"/>
            <w:vAlign w:val="center"/>
          </w:tcPr>
          <w:p w:rsidR="00D81C17" w:rsidRPr="00627237" w:rsidRDefault="00D81C17" w:rsidP="00B66C2F">
            <w:pPr>
              <w:spacing w:line="360" w:lineRule="exact"/>
              <w:rPr>
                <w:rFonts w:ascii="宋体" w:eastAsia="宋体" w:hAnsi="宋体"/>
                <w:szCs w:val="21"/>
              </w:rPr>
            </w:pPr>
            <w:r w:rsidRPr="00627237">
              <w:rPr>
                <w:rFonts w:ascii="宋体" w:eastAsia="宋体" w:hAnsi="宋体"/>
                <w:szCs w:val="21"/>
              </w:rPr>
              <w:t>针对本项目的重点工作方案（包括但不限于重点区域服务方案、工期安排、应急预案等：方案科学合理得15分，方案较为合理得10分，方案基本合理得5分，不合理得0分。</w:t>
            </w:r>
          </w:p>
        </w:tc>
        <w:tc>
          <w:tcPr>
            <w:tcW w:w="1103" w:type="dxa"/>
            <w:vAlign w:val="center"/>
          </w:tcPr>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15</w:t>
            </w:r>
          </w:p>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（0-15）</w:t>
            </w:r>
          </w:p>
        </w:tc>
      </w:tr>
      <w:tr w:rsidR="00D81C17" w:rsidRPr="00305C23" w:rsidTr="00B66C2F">
        <w:trPr>
          <w:trHeight w:val="692"/>
          <w:jc w:val="center"/>
        </w:trPr>
        <w:tc>
          <w:tcPr>
            <w:tcW w:w="735" w:type="dxa"/>
            <w:vMerge/>
            <w:vAlign w:val="center"/>
          </w:tcPr>
          <w:p w:rsidR="00D81C17" w:rsidRPr="00627237" w:rsidRDefault="00D81C17" w:rsidP="00B66C2F">
            <w:pPr>
              <w:pStyle w:val="a8"/>
              <w:spacing w:line="360" w:lineRule="auto"/>
              <w:rPr>
                <w:rFonts w:cstheme="minorBidi"/>
                <w:kern w:val="2"/>
                <w:sz w:val="21"/>
                <w:szCs w:val="21"/>
              </w:rPr>
            </w:pPr>
          </w:p>
        </w:tc>
        <w:tc>
          <w:tcPr>
            <w:tcW w:w="1276" w:type="dxa"/>
            <w:vAlign w:val="center"/>
          </w:tcPr>
          <w:p w:rsidR="00D81C17" w:rsidRPr="00627237" w:rsidRDefault="001D7693" w:rsidP="00B66C2F">
            <w:pPr>
              <w:spacing w:line="360" w:lineRule="exact"/>
              <w:rPr>
                <w:rFonts w:ascii="宋体" w:eastAsia="宋体" w:hAnsi="宋体"/>
                <w:szCs w:val="21"/>
              </w:rPr>
            </w:pPr>
            <w:r w:rsidRPr="00627237">
              <w:rPr>
                <w:rFonts w:ascii="宋体" w:eastAsia="宋体" w:hAnsi="宋体"/>
                <w:szCs w:val="21"/>
              </w:rPr>
              <w:t>5</w:t>
            </w:r>
            <w:r w:rsidR="00D81C17" w:rsidRPr="00627237">
              <w:rPr>
                <w:rFonts w:ascii="宋体" w:eastAsia="宋体" w:hAnsi="宋体"/>
                <w:szCs w:val="21"/>
              </w:rPr>
              <w:t>.服务承诺</w:t>
            </w:r>
          </w:p>
        </w:tc>
        <w:tc>
          <w:tcPr>
            <w:tcW w:w="5528" w:type="dxa"/>
            <w:vAlign w:val="center"/>
          </w:tcPr>
          <w:p w:rsidR="00D81C17" w:rsidRPr="00627237" w:rsidRDefault="00D81C17" w:rsidP="00B66C2F">
            <w:pPr>
              <w:spacing w:line="360" w:lineRule="exact"/>
              <w:rPr>
                <w:rFonts w:ascii="宋体" w:eastAsia="宋体" w:hAnsi="宋体"/>
                <w:szCs w:val="21"/>
              </w:rPr>
            </w:pPr>
            <w:r w:rsidRPr="00627237">
              <w:rPr>
                <w:rFonts w:ascii="宋体" w:eastAsia="宋体" w:hAnsi="宋体"/>
                <w:szCs w:val="21"/>
              </w:rPr>
              <w:t>针对本项目的服务要对应的服务承诺的合理、完善程度，酌情给分（1-10分）。</w:t>
            </w:r>
          </w:p>
        </w:tc>
        <w:tc>
          <w:tcPr>
            <w:tcW w:w="1103" w:type="dxa"/>
            <w:vAlign w:val="center"/>
          </w:tcPr>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10</w:t>
            </w:r>
          </w:p>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（0-15）</w:t>
            </w:r>
          </w:p>
        </w:tc>
      </w:tr>
      <w:tr w:rsidR="00D81C17" w:rsidRPr="00305C23" w:rsidTr="00B66C2F">
        <w:trPr>
          <w:trHeight w:val="748"/>
          <w:jc w:val="center"/>
        </w:trPr>
        <w:tc>
          <w:tcPr>
            <w:tcW w:w="735" w:type="dxa"/>
            <w:vMerge/>
            <w:vAlign w:val="center"/>
          </w:tcPr>
          <w:p w:rsidR="00D81C17" w:rsidRPr="00627237" w:rsidRDefault="00D81C17" w:rsidP="00B66C2F">
            <w:pPr>
              <w:pStyle w:val="a8"/>
              <w:spacing w:line="360" w:lineRule="auto"/>
              <w:rPr>
                <w:rFonts w:cstheme="minorBidi"/>
                <w:kern w:val="2"/>
                <w:sz w:val="21"/>
                <w:szCs w:val="21"/>
              </w:rPr>
            </w:pPr>
          </w:p>
        </w:tc>
        <w:tc>
          <w:tcPr>
            <w:tcW w:w="1276" w:type="dxa"/>
            <w:vAlign w:val="center"/>
          </w:tcPr>
          <w:p w:rsidR="00D81C17" w:rsidRPr="00627237" w:rsidRDefault="001D7693" w:rsidP="00B66C2F">
            <w:pPr>
              <w:spacing w:line="360" w:lineRule="exact"/>
              <w:rPr>
                <w:rFonts w:ascii="宋体" w:eastAsia="宋体" w:hAnsi="宋体"/>
                <w:szCs w:val="21"/>
              </w:rPr>
            </w:pPr>
            <w:r w:rsidRPr="00627237">
              <w:rPr>
                <w:rFonts w:ascii="宋体" w:eastAsia="宋体" w:hAnsi="宋体"/>
                <w:szCs w:val="21"/>
              </w:rPr>
              <w:t>6</w:t>
            </w:r>
            <w:r w:rsidR="00D81C17" w:rsidRPr="00627237">
              <w:rPr>
                <w:rFonts w:ascii="宋体" w:eastAsia="宋体" w:hAnsi="宋体"/>
                <w:szCs w:val="21"/>
              </w:rPr>
              <w:t>.增值服务</w:t>
            </w:r>
          </w:p>
        </w:tc>
        <w:tc>
          <w:tcPr>
            <w:tcW w:w="5528" w:type="dxa"/>
            <w:vAlign w:val="center"/>
          </w:tcPr>
          <w:p w:rsidR="00D81C17" w:rsidRPr="00627237" w:rsidRDefault="00D81C17" w:rsidP="00B66C2F">
            <w:pPr>
              <w:spacing w:line="360" w:lineRule="exact"/>
              <w:rPr>
                <w:rFonts w:ascii="宋体" w:eastAsia="宋体" w:hAnsi="宋体"/>
                <w:szCs w:val="21"/>
              </w:rPr>
            </w:pPr>
            <w:r w:rsidRPr="00627237">
              <w:rPr>
                <w:rFonts w:ascii="宋体" w:eastAsia="宋体" w:hAnsi="宋体"/>
                <w:szCs w:val="21"/>
              </w:rPr>
              <w:t>针对本项目具体情况提供额外增值服务，根据增值项的合理、完善程度排序，酌情给分（1-10分）。</w:t>
            </w:r>
          </w:p>
        </w:tc>
        <w:tc>
          <w:tcPr>
            <w:tcW w:w="1103" w:type="dxa"/>
            <w:vAlign w:val="center"/>
          </w:tcPr>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10</w:t>
            </w:r>
          </w:p>
          <w:p w:rsidR="00D81C17" w:rsidRPr="00627237" w:rsidRDefault="00D81C17" w:rsidP="00B66C2F">
            <w:pPr>
              <w:pStyle w:val="a8"/>
              <w:spacing w:line="360" w:lineRule="auto"/>
              <w:jc w:val="center"/>
              <w:rPr>
                <w:rFonts w:cstheme="minorBidi"/>
                <w:kern w:val="2"/>
                <w:sz w:val="21"/>
                <w:szCs w:val="21"/>
              </w:rPr>
            </w:pPr>
            <w:r w:rsidRPr="00627237">
              <w:rPr>
                <w:rFonts w:cstheme="minorBidi"/>
                <w:kern w:val="2"/>
                <w:sz w:val="21"/>
                <w:szCs w:val="21"/>
              </w:rPr>
              <w:t>（0-10）</w:t>
            </w:r>
          </w:p>
        </w:tc>
      </w:tr>
    </w:tbl>
    <w:p w:rsidR="00247D75" w:rsidRDefault="00247D75">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88470B">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95091E">
        <w:rPr>
          <w:rFonts w:ascii="宋体" w:eastAsia="宋体" w:hAnsi="宋体"/>
          <w:szCs w:val="21"/>
        </w:rPr>
        <w:t>5</w:t>
      </w:r>
      <w:r>
        <w:rPr>
          <w:rFonts w:ascii="宋体" w:eastAsia="宋体" w:hAnsi="宋体" w:hint="eastAsia"/>
          <w:szCs w:val="21"/>
        </w:rPr>
        <w:t>年</w:t>
      </w:r>
      <w:r w:rsidR="00FE6E2B">
        <w:rPr>
          <w:rFonts w:ascii="宋体" w:eastAsia="宋体" w:hAnsi="宋体"/>
          <w:szCs w:val="21"/>
        </w:rPr>
        <w:t>3</w:t>
      </w:r>
      <w:r>
        <w:rPr>
          <w:rFonts w:ascii="宋体" w:eastAsia="宋体" w:hAnsi="宋体" w:hint="eastAsia"/>
          <w:szCs w:val="21"/>
        </w:rPr>
        <w:t>月</w:t>
      </w:r>
      <w:r w:rsidR="00FE6E2B">
        <w:rPr>
          <w:rFonts w:ascii="宋体" w:eastAsia="宋体" w:hAnsi="宋体"/>
          <w:szCs w:val="21"/>
        </w:rPr>
        <w:t>18</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rsidP="009435D8">
      <w:pPr>
        <w:ind w:firstLineChars="200" w:firstLine="420"/>
        <w:jc w:val="left"/>
        <w:rPr>
          <w:rFonts w:ascii="宋体" w:eastAsia="宋体" w:hAnsi="宋体"/>
          <w:szCs w:val="21"/>
        </w:rPr>
      </w:pPr>
      <w:r>
        <w:rPr>
          <w:rFonts w:ascii="宋体" w:eastAsia="宋体" w:hAnsi="宋体" w:hint="eastAsia"/>
          <w:szCs w:val="21"/>
        </w:rPr>
        <w:t>2、开</w:t>
      </w:r>
      <w:r w:rsidR="0088470B">
        <w:rPr>
          <w:rFonts w:ascii="宋体" w:eastAsia="宋体" w:hAnsi="宋体" w:hint="eastAsia"/>
          <w:szCs w:val="21"/>
        </w:rPr>
        <w:t>启</w:t>
      </w:r>
      <w:r>
        <w:rPr>
          <w:rFonts w:ascii="宋体" w:eastAsia="宋体" w:hAnsi="宋体" w:hint="eastAsia"/>
          <w:szCs w:val="21"/>
        </w:rPr>
        <w:t>时间：202</w:t>
      </w:r>
      <w:r w:rsidR="0095091E">
        <w:rPr>
          <w:rFonts w:ascii="宋体" w:eastAsia="宋体" w:hAnsi="宋体"/>
          <w:szCs w:val="21"/>
        </w:rPr>
        <w:t>5</w:t>
      </w:r>
      <w:r>
        <w:rPr>
          <w:rFonts w:ascii="宋体" w:eastAsia="宋体" w:hAnsi="宋体" w:hint="eastAsia"/>
          <w:szCs w:val="21"/>
        </w:rPr>
        <w:t>年</w:t>
      </w:r>
      <w:r w:rsidR="00FE6E2B">
        <w:rPr>
          <w:rFonts w:ascii="宋体" w:eastAsia="宋体" w:hAnsi="宋体"/>
          <w:szCs w:val="21"/>
        </w:rPr>
        <w:t>3</w:t>
      </w:r>
      <w:r>
        <w:rPr>
          <w:rFonts w:ascii="宋体" w:eastAsia="宋体" w:hAnsi="宋体" w:hint="eastAsia"/>
          <w:szCs w:val="21"/>
        </w:rPr>
        <w:t>月</w:t>
      </w:r>
      <w:r w:rsidR="00FE6E2B">
        <w:rPr>
          <w:rFonts w:ascii="宋体" w:eastAsia="宋体" w:hAnsi="宋体"/>
          <w:szCs w:val="21"/>
        </w:rPr>
        <w:t>18</w:t>
      </w:r>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3、地点：北京市西城区西直门外大街6号中仪大厦</w:t>
      </w:r>
      <w:r w:rsidR="00B80F6D">
        <w:rPr>
          <w:rFonts w:ascii="宋体" w:eastAsia="宋体" w:hAnsi="宋体"/>
          <w:szCs w:val="21"/>
        </w:rPr>
        <w:t>10</w:t>
      </w:r>
      <w:r w:rsidR="003D225B">
        <w:rPr>
          <w:rFonts w:ascii="宋体" w:eastAsia="宋体" w:hAnsi="宋体"/>
          <w:szCs w:val="21"/>
        </w:rPr>
        <w:t>0</w:t>
      </w:r>
      <w:r w:rsidR="00FE6E2B">
        <w:rPr>
          <w:rFonts w:ascii="宋体" w:eastAsia="宋体" w:hAnsi="宋体"/>
          <w:szCs w:val="21"/>
        </w:rPr>
        <w:t>4</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Pr="00C77DAA" w:rsidRDefault="00A62085" w:rsidP="00C77DAA">
      <w:pPr>
        <w:widowControl/>
        <w:jc w:val="left"/>
        <w:rPr>
          <w:rFonts w:ascii="宋体" w:eastAsia="宋体" w:hAnsi="宋体"/>
          <w:szCs w:val="21"/>
        </w:rPr>
      </w:pPr>
    </w:p>
    <w:sectPr w:rsidR="00A62085" w:rsidRPr="00C77D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CD1" w:rsidRDefault="00120CD1">
      <w:r>
        <w:separator/>
      </w:r>
    </w:p>
  </w:endnote>
  <w:endnote w:type="continuationSeparator" w:id="0">
    <w:p w:rsidR="00120CD1" w:rsidRDefault="0012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5332"/>
      <w:docPartObj>
        <w:docPartGallery w:val="Page Numbers (Bottom of Page)"/>
        <w:docPartUnique/>
      </w:docPartObj>
    </w:sdtPr>
    <w:sdtEndPr/>
    <w:sdtContent>
      <w:p w:rsidR="00A62085" w:rsidRDefault="00551E1A" w:rsidP="007C54F6">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CD1" w:rsidRDefault="00120CD1">
      <w:r>
        <w:separator/>
      </w:r>
    </w:p>
  </w:footnote>
  <w:footnote w:type="continuationSeparator" w:id="0">
    <w:p w:rsidR="00120CD1" w:rsidRDefault="0012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7883292"/>
    <w:multiLevelType w:val="hybridMultilevel"/>
    <w:tmpl w:val="B6D6A584"/>
    <w:lvl w:ilvl="0" w:tplc="504861DE">
      <w:start w:val="1"/>
      <w:numFmt w:val="bullet"/>
      <w:lvlText w:val=""/>
      <w:lvlJc w:val="left"/>
      <w:pPr>
        <w:tabs>
          <w:tab w:val="num" w:pos="720"/>
        </w:tabs>
        <w:ind w:left="720" w:hanging="360"/>
      </w:pPr>
      <w:rPr>
        <w:rFonts w:ascii="Wingdings" w:hAnsi="Wingdings" w:hint="default"/>
      </w:rPr>
    </w:lvl>
    <w:lvl w:ilvl="1" w:tplc="FC0ABAE8" w:tentative="1">
      <w:start w:val="1"/>
      <w:numFmt w:val="bullet"/>
      <w:lvlText w:val=""/>
      <w:lvlJc w:val="left"/>
      <w:pPr>
        <w:tabs>
          <w:tab w:val="num" w:pos="1440"/>
        </w:tabs>
        <w:ind w:left="1440" w:hanging="360"/>
      </w:pPr>
      <w:rPr>
        <w:rFonts w:ascii="Wingdings" w:hAnsi="Wingdings" w:hint="default"/>
      </w:rPr>
    </w:lvl>
    <w:lvl w:ilvl="2" w:tplc="CC9617E4" w:tentative="1">
      <w:start w:val="1"/>
      <w:numFmt w:val="bullet"/>
      <w:lvlText w:val=""/>
      <w:lvlJc w:val="left"/>
      <w:pPr>
        <w:tabs>
          <w:tab w:val="num" w:pos="2160"/>
        </w:tabs>
        <w:ind w:left="2160" w:hanging="360"/>
      </w:pPr>
      <w:rPr>
        <w:rFonts w:ascii="Wingdings" w:hAnsi="Wingdings" w:hint="default"/>
      </w:rPr>
    </w:lvl>
    <w:lvl w:ilvl="3" w:tplc="CA76A83E" w:tentative="1">
      <w:start w:val="1"/>
      <w:numFmt w:val="bullet"/>
      <w:lvlText w:val=""/>
      <w:lvlJc w:val="left"/>
      <w:pPr>
        <w:tabs>
          <w:tab w:val="num" w:pos="2880"/>
        </w:tabs>
        <w:ind w:left="2880" w:hanging="360"/>
      </w:pPr>
      <w:rPr>
        <w:rFonts w:ascii="Wingdings" w:hAnsi="Wingdings" w:hint="default"/>
      </w:rPr>
    </w:lvl>
    <w:lvl w:ilvl="4" w:tplc="EE22515A" w:tentative="1">
      <w:start w:val="1"/>
      <w:numFmt w:val="bullet"/>
      <w:lvlText w:val=""/>
      <w:lvlJc w:val="left"/>
      <w:pPr>
        <w:tabs>
          <w:tab w:val="num" w:pos="3600"/>
        </w:tabs>
        <w:ind w:left="3600" w:hanging="360"/>
      </w:pPr>
      <w:rPr>
        <w:rFonts w:ascii="Wingdings" w:hAnsi="Wingdings" w:hint="default"/>
      </w:rPr>
    </w:lvl>
    <w:lvl w:ilvl="5" w:tplc="4CC229BC" w:tentative="1">
      <w:start w:val="1"/>
      <w:numFmt w:val="bullet"/>
      <w:lvlText w:val=""/>
      <w:lvlJc w:val="left"/>
      <w:pPr>
        <w:tabs>
          <w:tab w:val="num" w:pos="4320"/>
        </w:tabs>
        <w:ind w:left="4320" w:hanging="360"/>
      </w:pPr>
      <w:rPr>
        <w:rFonts w:ascii="Wingdings" w:hAnsi="Wingdings" w:hint="default"/>
      </w:rPr>
    </w:lvl>
    <w:lvl w:ilvl="6" w:tplc="6A3CD7EE" w:tentative="1">
      <w:start w:val="1"/>
      <w:numFmt w:val="bullet"/>
      <w:lvlText w:val=""/>
      <w:lvlJc w:val="left"/>
      <w:pPr>
        <w:tabs>
          <w:tab w:val="num" w:pos="5040"/>
        </w:tabs>
        <w:ind w:left="5040" w:hanging="360"/>
      </w:pPr>
      <w:rPr>
        <w:rFonts w:ascii="Wingdings" w:hAnsi="Wingdings" w:hint="default"/>
      </w:rPr>
    </w:lvl>
    <w:lvl w:ilvl="7" w:tplc="3F643DD0" w:tentative="1">
      <w:start w:val="1"/>
      <w:numFmt w:val="bullet"/>
      <w:lvlText w:val=""/>
      <w:lvlJc w:val="left"/>
      <w:pPr>
        <w:tabs>
          <w:tab w:val="num" w:pos="5760"/>
        </w:tabs>
        <w:ind w:left="5760" w:hanging="360"/>
      </w:pPr>
      <w:rPr>
        <w:rFonts w:ascii="Wingdings" w:hAnsi="Wingdings" w:hint="default"/>
      </w:rPr>
    </w:lvl>
    <w:lvl w:ilvl="8" w:tplc="B9B61B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30FBBC"/>
    <w:multiLevelType w:val="singleLevel"/>
    <w:tmpl w:val="6730FBBC"/>
    <w:lvl w:ilvl="0">
      <w:start w:val="1"/>
      <w:numFmt w:val="decimal"/>
      <w:lvlText w:val="%1."/>
      <w:lvlJc w:val="left"/>
      <w:pPr>
        <w:tabs>
          <w:tab w:val="num"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07FF"/>
    <w:rsid w:val="00012DD8"/>
    <w:rsid w:val="0001313A"/>
    <w:rsid w:val="000171C9"/>
    <w:rsid w:val="000204EC"/>
    <w:rsid w:val="0002789D"/>
    <w:rsid w:val="00034636"/>
    <w:rsid w:val="0003581C"/>
    <w:rsid w:val="00035E43"/>
    <w:rsid w:val="00050660"/>
    <w:rsid w:val="00064290"/>
    <w:rsid w:val="0007610D"/>
    <w:rsid w:val="0007679E"/>
    <w:rsid w:val="000877C8"/>
    <w:rsid w:val="000C5ABC"/>
    <w:rsid w:val="00103DC0"/>
    <w:rsid w:val="0010447F"/>
    <w:rsid w:val="00107016"/>
    <w:rsid w:val="00107768"/>
    <w:rsid w:val="0011646F"/>
    <w:rsid w:val="00116DA6"/>
    <w:rsid w:val="00120409"/>
    <w:rsid w:val="00120CD1"/>
    <w:rsid w:val="001303AA"/>
    <w:rsid w:val="00132C5A"/>
    <w:rsid w:val="00135D68"/>
    <w:rsid w:val="0014064E"/>
    <w:rsid w:val="00146C7E"/>
    <w:rsid w:val="00147917"/>
    <w:rsid w:val="0015452B"/>
    <w:rsid w:val="00154E36"/>
    <w:rsid w:val="001626C3"/>
    <w:rsid w:val="001711FC"/>
    <w:rsid w:val="00183598"/>
    <w:rsid w:val="00186F83"/>
    <w:rsid w:val="00187637"/>
    <w:rsid w:val="00191B67"/>
    <w:rsid w:val="001A377E"/>
    <w:rsid w:val="001A70F2"/>
    <w:rsid w:val="001B6610"/>
    <w:rsid w:val="001B67CD"/>
    <w:rsid w:val="001B69E0"/>
    <w:rsid w:val="001C268B"/>
    <w:rsid w:val="001C36B9"/>
    <w:rsid w:val="001C7155"/>
    <w:rsid w:val="001D7693"/>
    <w:rsid w:val="001E2523"/>
    <w:rsid w:val="001E74DA"/>
    <w:rsid w:val="001E7684"/>
    <w:rsid w:val="001F4C3D"/>
    <w:rsid w:val="002006BB"/>
    <w:rsid w:val="00201649"/>
    <w:rsid w:val="002134F2"/>
    <w:rsid w:val="00215C80"/>
    <w:rsid w:val="0021694E"/>
    <w:rsid w:val="00221546"/>
    <w:rsid w:val="0022198F"/>
    <w:rsid w:val="00232321"/>
    <w:rsid w:val="002340D8"/>
    <w:rsid w:val="00236F1E"/>
    <w:rsid w:val="00236FD4"/>
    <w:rsid w:val="0024172A"/>
    <w:rsid w:val="002442DF"/>
    <w:rsid w:val="00246BB3"/>
    <w:rsid w:val="00247D75"/>
    <w:rsid w:val="002525C8"/>
    <w:rsid w:val="00260DDA"/>
    <w:rsid w:val="0026231B"/>
    <w:rsid w:val="002858F1"/>
    <w:rsid w:val="002922F4"/>
    <w:rsid w:val="002952DD"/>
    <w:rsid w:val="002A0521"/>
    <w:rsid w:val="002A6BCB"/>
    <w:rsid w:val="002B3457"/>
    <w:rsid w:val="002C17F2"/>
    <w:rsid w:val="002C2538"/>
    <w:rsid w:val="002F3869"/>
    <w:rsid w:val="002F5B2E"/>
    <w:rsid w:val="00301EFA"/>
    <w:rsid w:val="00311570"/>
    <w:rsid w:val="00316C2A"/>
    <w:rsid w:val="00317848"/>
    <w:rsid w:val="00321B34"/>
    <w:rsid w:val="00327B4D"/>
    <w:rsid w:val="00330EE4"/>
    <w:rsid w:val="00337269"/>
    <w:rsid w:val="003441B5"/>
    <w:rsid w:val="00345E89"/>
    <w:rsid w:val="00352CD9"/>
    <w:rsid w:val="00363104"/>
    <w:rsid w:val="00366D07"/>
    <w:rsid w:val="00382959"/>
    <w:rsid w:val="003831F6"/>
    <w:rsid w:val="00395E4F"/>
    <w:rsid w:val="00397BE7"/>
    <w:rsid w:val="003B3290"/>
    <w:rsid w:val="003D225B"/>
    <w:rsid w:val="003D532A"/>
    <w:rsid w:val="003E4659"/>
    <w:rsid w:val="003E5F40"/>
    <w:rsid w:val="003E74E8"/>
    <w:rsid w:val="003F5A3D"/>
    <w:rsid w:val="003F7BB8"/>
    <w:rsid w:val="0040458D"/>
    <w:rsid w:val="004120A2"/>
    <w:rsid w:val="00416DF9"/>
    <w:rsid w:val="00445753"/>
    <w:rsid w:val="004472BC"/>
    <w:rsid w:val="00450C5F"/>
    <w:rsid w:val="00455BAC"/>
    <w:rsid w:val="0046037D"/>
    <w:rsid w:val="00460FE2"/>
    <w:rsid w:val="0046485F"/>
    <w:rsid w:val="004660C5"/>
    <w:rsid w:val="00484A06"/>
    <w:rsid w:val="00491CB5"/>
    <w:rsid w:val="00493E3E"/>
    <w:rsid w:val="00494618"/>
    <w:rsid w:val="00497097"/>
    <w:rsid w:val="004A2E39"/>
    <w:rsid w:val="004A3A1C"/>
    <w:rsid w:val="004B00F1"/>
    <w:rsid w:val="004C53DA"/>
    <w:rsid w:val="004D050B"/>
    <w:rsid w:val="004E7418"/>
    <w:rsid w:val="004F2E41"/>
    <w:rsid w:val="004F387B"/>
    <w:rsid w:val="004F5E22"/>
    <w:rsid w:val="004F63A7"/>
    <w:rsid w:val="0050352C"/>
    <w:rsid w:val="00516643"/>
    <w:rsid w:val="0052131D"/>
    <w:rsid w:val="00521C12"/>
    <w:rsid w:val="005263CC"/>
    <w:rsid w:val="005343C3"/>
    <w:rsid w:val="005377C3"/>
    <w:rsid w:val="005453F1"/>
    <w:rsid w:val="00545404"/>
    <w:rsid w:val="00551E1A"/>
    <w:rsid w:val="00554B15"/>
    <w:rsid w:val="00571B14"/>
    <w:rsid w:val="0057425A"/>
    <w:rsid w:val="005769A9"/>
    <w:rsid w:val="00585B3A"/>
    <w:rsid w:val="00585E1D"/>
    <w:rsid w:val="00595D04"/>
    <w:rsid w:val="005A3364"/>
    <w:rsid w:val="005A350C"/>
    <w:rsid w:val="005B1D84"/>
    <w:rsid w:val="005C52B9"/>
    <w:rsid w:val="005D1B6B"/>
    <w:rsid w:val="005D4933"/>
    <w:rsid w:val="005D7D22"/>
    <w:rsid w:val="005E5AD8"/>
    <w:rsid w:val="005E5EB0"/>
    <w:rsid w:val="005F12B1"/>
    <w:rsid w:val="00610135"/>
    <w:rsid w:val="00625345"/>
    <w:rsid w:val="00627237"/>
    <w:rsid w:val="00630DEC"/>
    <w:rsid w:val="00637C79"/>
    <w:rsid w:val="006401D5"/>
    <w:rsid w:val="00640332"/>
    <w:rsid w:val="006427E6"/>
    <w:rsid w:val="00643684"/>
    <w:rsid w:val="00645464"/>
    <w:rsid w:val="00653E5D"/>
    <w:rsid w:val="00665C0B"/>
    <w:rsid w:val="006971E7"/>
    <w:rsid w:val="00697595"/>
    <w:rsid w:val="006B4D40"/>
    <w:rsid w:val="006C3EF6"/>
    <w:rsid w:val="006C538D"/>
    <w:rsid w:val="006C75E3"/>
    <w:rsid w:val="006F03CF"/>
    <w:rsid w:val="007036A7"/>
    <w:rsid w:val="00704406"/>
    <w:rsid w:val="007102EB"/>
    <w:rsid w:val="0071555C"/>
    <w:rsid w:val="0071557F"/>
    <w:rsid w:val="00716864"/>
    <w:rsid w:val="00724C14"/>
    <w:rsid w:val="0073057E"/>
    <w:rsid w:val="007325D7"/>
    <w:rsid w:val="00732DFA"/>
    <w:rsid w:val="00741482"/>
    <w:rsid w:val="00756DB4"/>
    <w:rsid w:val="00766116"/>
    <w:rsid w:val="00771976"/>
    <w:rsid w:val="00782827"/>
    <w:rsid w:val="0079481D"/>
    <w:rsid w:val="007B4B78"/>
    <w:rsid w:val="007C4320"/>
    <w:rsid w:val="007C54F6"/>
    <w:rsid w:val="007C5B45"/>
    <w:rsid w:val="007E1FE2"/>
    <w:rsid w:val="007E3033"/>
    <w:rsid w:val="007E6DAE"/>
    <w:rsid w:val="007F75F9"/>
    <w:rsid w:val="00802854"/>
    <w:rsid w:val="008032A4"/>
    <w:rsid w:val="00806343"/>
    <w:rsid w:val="00814496"/>
    <w:rsid w:val="00814BE2"/>
    <w:rsid w:val="00814F7D"/>
    <w:rsid w:val="00816BBF"/>
    <w:rsid w:val="00817C58"/>
    <w:rsid w:val="008257F9"/>
    <w:rsid w:val="00831B38"/>
    <w:rsid w:val="00832E65"/>
    <w:rsid w:val="0085475B"/>
    <w:rsid w:val="00864EC0"/>
    <w:rsid w:val="00870DE7"/>
    <w:rsid w:val="0087756E"/>
    <w:rsid w:val="00877E19"/>
    <w:rsid w:val="0088470B"/>
    <w:rsid w:val="00890D8F"/>
    <w:rsid w:val="00892766"/>
    <w:rsid w:val="008A1BC7"/>
    <w:rsid w:val="008A3E8A"/>
    <w:rsid w:val="008C5CF1"/>
    <w:rsid w:val="008E4AC8"/>
    <w:rsid w:val="008E4DFD"/>
    <w:rsid w:val="008F2ABC"/>
    <w:rsid w:val="008F41D7"/>
    <w:rsid w:val="00910266"/>
    <w:rsid w:val="0091503B"/>
    <w:rsid w:val="00922E62"/>
    <w:rsid w:val="00922FB0"/>
    <w:rsid w:val="009435D8"/>
    <w:rsid w:val="0094615F"/>
    <w:rsid w:val="0095017D"/>
    <w:rsid w:val="0095091E"/>
    <w:rsid w:val="009533DE"/>
    <w:rsid w:val="009536F7"/>
    <w:rsid w:val="009623CC"/>
    <w:rsid w:val="0097691C"/>
    <w:rsid w:val="009815D9"/>
    <w:rsid w:val="00990D35"/>
    <w:rsid w:val="00996FDF"/>
    <w:rsid w:val="009A2B7B"/>
    <w:rsid w:val="009A7CE9"/>
    <w:rsid w:val="009B3A3D"/>
    <w:rsid w:val="009B40EF"/>
    <w:rsid w:val="009B5572"/>
    <w:rsid w:val="009B602C"/>
    <w:rsid w:val="009B69D9"/>
    <w:rsid w:val="009B6CAA"/>
    <w:rsid w:val="009B729F"/>
    <w:rsid w:val="009D0EB6"/>
    <w:rsid w:val="009E15C3"/>
    <w:rsid w:val="009F12C9"/>
    <w:rsid w:val="009F38CB"/>
    <w:rsid w:val="00A130BB"/>
    <w:rsid w:val="00A13C92"/>
    <w:rsid w:val="00A165AB"/>
    <w:rsid w:val="00A31442"/>
    <w:rsid w:val="00A43B6A"/>
    <w:rsid w:val="00A45E9B"/>
    <w:rsid w:val="00A47B50"/>
    <w:rsid w:val="00A50B15"/>
    <w:rsid w:val="00A62085"/>
    <w:rsid w:val="00A66966"/>
    <w:rsid w:val="00A71C15"/>
    <w:rsid w:val="00A81C38"/>
    <w:rsid w:val="00AA5876"/>
    <w:rsid w:val="00AA72BA"/>
    <w:rsid w:val="00AB320F"/>
    <w:rsid w:val="00AB72A0"/>
    <w:rsid w:val="00AD0187"/>
    <w:rsid w:val="00AD037B"/>
    <w:rsid w:val="00AD17D9"/>
    <w:rsid w:val="00AD2BC2"/>
    <w:rsid w:val="00AD2F09"/>
    <w:rsid w:val="00AD3187"/>
    <w:rsid w:val="00AE3E46"/>
    <w:rsid w:val="00AF0172"/>
    <w:rsid w:val="00B016D1"/>
    <w:rsid w:val="00B11E88"/>
    <w:rsid w:val="00B22393"/>
    <w:rsid w:val="00B27A87"/>
    <w:rsid w:val="00B30530"/>
    <w:rsid w:val="00B340D5"/>
    <w:rsid w:val="00B343E0"/>
    <w:rsid w:val="00B352C8"/>
    <w:rsid w:val="00B40A59"/>
    <w:rsid w:val="00B4164D"/>
    <w:rsid w:val="00B53550"/>
    <w:rsid w:val="00B60D06"/>
    <w:rsid w:val="00B61420"/>
    <w:rsid w:val="00B7097D"/>
    <w:rsid w:val="00B74DE7"/>
    <w:rsid w:val="00B80F6D"/>
    <w:rsid w:val="00B81D93"/>
    <w:rsid w:val="00B82142"/>
    <w:rsid w:val="00BA043B"/>
    <w:rsid w:val="00BA38C4"/>
    <w:rsid w:val="00BB1805"/>
    <w:rsid w:val="00BB3909"/>
    <w:rsid w:val="00BB5888"/>
    <w:rsid w:val="00BC0646"/>
    <w:rsid w:val="00BC1CBD"/>
    <w:rsid w:val="00BC78AD"/>
    <w:rsid w:val="00BC7E2C"/>
    <w:rsid w:val="00BE7CA4"/>
    <w:rsid w:val="00BF04E3"/>
    <w:rsid w:val="00BF1422"/>
    <w:rsid w:val="00C03123"/>
    <w:rsid w:val="00C039B5"/>
    <w:rsid w:val="00C05D8A"/>
    <w:rsid w:val="00C07635"/>
    <w:rsid w:val="00C124E4"/>
    <w:rsid w:val="00C1644E"/>
    <w:rsid w:val="00C26235"/>
    <w:rsid w:val="00C3020F"/>
    <w:rsid w:val="00C3372C"/>
    <w:rsid w:val="00C40559"/>
    <w:rsid w:val="00C44AE2"/>
    <w:rsid w:val="00C501B5"/>
    <w:rsid w:val="00C57914"/>
    <w:rsid w:val="00C604AF"/>
    <w:rsid w:val="00C76EAC"/>
    <w:rsid w:val="00C77842"/>
    <w:rsid w:val="00C77DAA"/>
    <w:rsid w:val="00C83713"/>
    <w:rsid w:val="00C8379E"/>
    <w:rsid w:val="00C84C79"/>
    <w:rsid w:val="00C96B1D"/>
    <w:rsid w:val="00CA5850"/>
    <w:rsid w:val="00CB41FD"/>
    <w:rsid w:val="00CC0CBD"/>
    <w:rsid w:val="00CD31E3"/>
    <w:rsid w:val="00CE41D0"/>
    <w:rsid w:val="00CF1D70"/>
    <w:rsid w:val="00CF358D"/>
    <w:rsid w:val="00D04DB2"/>
    <w:rsid w:val="00D06092"/>
    <w:rsid w:val="00D14A6A"/>
    <w:rsid w:val="00D17674"/>
    <w:rsid w:val="00D261E4"/>
    <w:rsid w:val="00D318F7"/>
    <w:rsid w:val="00D378E5"/>
    <w:rsid w:val="00D5319C"/>
    <w:rsid w:val="00D569E7"/>
    <w:rsid w:val="00D636DA"/>
    <w:rsid w:val="00D72ABD"/>
    <w:rsid w:val="00D81395"/>
    <w:rsid w:val="00D81C17"/>
    <w:rsid w:val="00D918C5"/>
    <w:rsid w:val="00DA237C"/>
    <w:rsid w:val="00DB472D"/>
    <w:rsid w:val="00DC0948"/>
    <w:rsid w:val="00DC1F43"/>
    <w:rsid w:val="00DD1EAC"/>
    <w:rsid w:val="00DE7687"/>
    <w:rsid w:val="00DF1414"/>
    <w:rsid w:val="00E02CB4"/>
    <w:rsid w:val="00E064E7"/>
    <w:rsid w:val="00E10CEA"/>
    <w:rsid w:val="00E11D6C"/>
    <w:rsid w:val="00E14F86"/>
    <w:rsid w:val="00E30799"/>
    <w:rsid w:val="00E30D7D"/>
    <w:rsid w:val="00E334F0"/>
    <w:rsid w:val="00E5130D"/>
    <w:rsid w:val="00E60126"/>
    <w:rsid w:val="00E65800"/>
    <w:rsid w:val="00E7421E"/>
    <w:rsid w:val="00E77497"/>
    <w:rsid w:val="00E77D53"/>
    <w:rsid w:val="00E81DA2"/>
    <w:rsid w:val="00E9108F"/>
    <w:rsid w:val="00EA7669"/>
    <w:rsid w:val="00EC27D1"/>
    <w:rsid w:val="00EE2845"/>
    <w:rsid w:val="00EE68F4"/>
    <w:rsid w:val="00EF4D9C"/>
    <w:rsid w:val="00F03173"/>
    <w:rsid w:val="00F12DD1"/>
    <w:rsid w:val="00F1332B"/>
    <w:rsid w:val="00F154F9"/>
    <w:rsid w:val="00F211DD"/>
    <w:rsid w:val="00F24810"/>
    <w:rsid w:val="00F30BE5"/>
    <w:rsid w:val="00F32A74"/>
    <w:rsid w:val="00F52CCF"/>
    <w:rsid w:val="00F52DD6"/>
    <w:rsid w:val="00F5616E"/>
    <w:rsid w:val="00F6397B"/>
    <w:rsid w:val="00F73DB9"/>
    <w:rsid w:val="00F76F95"/>
    <w:rsid w:val="00F90DDB"/>
    <w:rsid w:val="00F941A8"/>
    <w:rsid w:val="00FA6DCF"/>
    <w:rsid w:val="00FD1D20"/>
    <w:rsid w:val="00FD1D46"/>
    <w:rsid w:val="00FD6CE3"/>
    <w:rsid w:val="00FE423B"/>
    <w:rsid w:val="00FE643D"/>
    <w:rsid w:val="00FE6E2B"/>
    <w:rsid w:val="00FF1E5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E3D29A"/>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character" w:customStyle="1" w:styleId="font11">
    <w:name w:val="font11"/>
    <w:basedOn w:val="a1"/>
    <w:rsid w:val="00E5130D"/>
    <w:rPr>
      <w:rFonts w:ascii="宋体" w:eastAsia="宋体" w:hAnsi="宋体" w:cs="宋体"/>
      <w:i w:val="0"/>
      <w:iCs w:val="0"/>
      <w:color w:val="000000"/>
      <w:sz w:val="28"/>
      <w:szCs w:val="28"/>
      <w:u w:val="none"/>
    </w:rPr>
  </w:style>
  <w:style w:type="paragraph" w:customStyle="1" w:styleId="Flietext2">
    <w:name w:val="Fließtext2"/>
    <w:basedOn w:val="a0"/>
    <w:uiPriority w:val="99"/>
    <w:qFormat/>
    <w:rsid w:val="00C77DAA"/>
    <w:pPr>
      <w:overflowPunct w:val="0"/>
      <w:autoSpaceDE w:val="0"/>
      <w:autoSpaceDN w:val="0"/>
      <w:adjustRightInd w:val="0"/>
      <w:textAlignment w:val="baseline"/>
    </w:pPr>
    <w:rPr>
      <w:rFonts w:ascii="Times New Roman" w:eastAsia="宋体" w:hAnsi="Times New Roman" w:cs="Times New Roman"/>
      <w:kern w:val="28"/>
      <w:szCs w:val="20"/>
    </w:rPr>
  </w:style>
  <w:style w:type="character" w:styleId="ad">
    <w:name w:val="Emphasis"/>
    <w:qFormat/>
    <w:rsid w:val="00491CB5"/>
    <w:rPr>
      <w:i w:val="0"/>
      <w:color w:val="CC0000"/>
      <w:sz w:val="24"/>
      <w:szCs w:val="24"/>
    </w:rPr>
  </w:style>
  <w:style w:type="table" w:styleId="ae">
    <w:name w:val="Table Grid"/>
    <w:basedOn w:val="a2"/>
    <w:uiPriority w:val="39"/>
    <w:rsid w:val="00534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74304">
      <w:bodyDiv w:val="1"/>
      <w:marLeft w:val="0"/>
      <w:marRight w:val="0"/>
      <w:marTop w:val="0"/>
      <w:marBottom w:val="0"/>
      <w:divBdr>
        <w:top w:val="none" w:sz="0" w:space="0" w:color="auto"/>
        <w:left w:val="none" w:sz="0" w:space="0" w:color="auto"/>
        <w:bottom w:val="none" w:sz="0" w:space="0" w:color="auto"/>
        <w:right w:val="none" w:sz="0" w:space="0" w:color="auto"/>
      </w:divBdr>
    </w:div>
    <w:div w:id="1599096917">
      <w:bodyDiv w:val="1"/>
      <w:marLeft w:val="0"/>
      <w:marRight w:val="0"/>
      <w:marTop w:val="0"/>
      <w:marBottom w:val="0"/>
      <w:divBdr>
        <w:top w:val="none" w:sz="0" w:space="0" w:color="auto"/>
        <w:left w:val="none" w:sz="0" w:space="0" w:color="auto"/>
        <w:bottom w:val="none" w:sz="0" w:space="0" w:color="auto"/>
        <w:right w:val="none" w:sz="0" w:space="0" w:color="auto"/>
      </w:divBdr>
      <w:divsChild>
        <w:div w:id="88783932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5358-5964-48CE-AF19-C8BA5A47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3</cp:revision>
  <cp:lastPrinted>2024-12-11T08:09:00Z</cp:lastPrinted>
  <dcterms:created xsi:type="dcterms:W3CDTF">2025-03-10T06:08:00Z</dcterms:created>
  <dcterms:modified xsi:type="dcterms:W3CDTF">2025-03-10T06:09:00Z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