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DC7F3">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0" w:firstLineChars="0"/>
        <w:jc w:val="center"/>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北京大学人民医院通州院区门厅改造建设工程项目（工程质量检测）</w:t>
      </w:r>
    </w:p>
    <w:p w14:paraId="2A3B4B7B">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313" w:afterLines="100" w:afterAutospacing="0" w:line="360" w:lineRule="auto"/>
        <w:ind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8"/>
          <w:szCs w:val="28"/>
          <w:highlight w:val="none"/>
        </w:rPr>
        <w:t>院内采购文件</w:t>
      </w:r>
    </w:p>
    <w:p w14:paraId="1DE80CE0">
      <w:pPr>
        <w:pStyle w:val="2"/>
        <w:numPr>
          <w:ilvl w:val="0"/>
          <w:numId w:val="1"/>
        </w:numPr>
        <w:bidi w:val="0"/>
        <w:rPr>
          <w:rFonts w:hint="eastAsia"/>
          <w:highlight w:val="none"/>
        </w:rPr>
      </w:pPr>
      <w:r>
        <w:rPr>
          <w:rFonts w:hint="eastAsia"/>
          <w:highlight w:val="none"/>
        </w:rPr>
        <w:t>采购公告</w:t>
      </w:r>
    </w:p>
    <w:p w14:paraId="776D1E9C">
      <w:pPr>
        <w:pStyle w:val="3"/>
        <w:bidi w:val="0"/>
        <w:rPr>
          <w:rFonts w:hint="default"/>
          <w:highlight w:val="none"/>
          <w:lang w:val="en-US" w:eastAsia="zh-CN"/>
        </w:rPr>
      </w:pPr>
      <w:r>
        <w:rPr>
          <w:rFonts w:hint="eastAsia"/>
          <w:highlight w:val="none"/>
          <w:lang w:val="en-US" w:eastAsia="zh-CN"/>
        </w:rPr>
        <w:t>（一）项目内容</w:t>
      </w:r>
    </w:p>
    <w:p w14:paraId="188C4D0F">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highlight w:val="none"/>
        </w:rPr>
      </w:pPr>
      <w:r>
        <w:rPr>
          <w:rFonts w:hint="eastAsia" w:ascii="宋体" w:hAnsi="宋体" w:eastAsia="宋体" w:cs="宋体"/>
          <w:highlight w:val="none"/>
        </w:rPr>
        <w:t>项目名称：</w:t>
      </w:r>
      <w:r>
        <w:rPr>
          <w:rFonts w:hint="eastAsia" w:ascii="宋体" w:hAnsi="宋体" w:eastAsia="宋体" w:cs="宋体"/>
          <w:highlight w:val="none"/>
        </w:rPr>
        <w:t>北京大学人民医院通州院区门厅改造建设工程项目（工程质量检测）</w:t>
      </w:r>
    </w:p>
    <w:p w14:paraId="6A0BF7C8">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highlight w:val="none"/>
        </w:rPr>
      </w:pPr>
      <w:r>
        <w:rPr>
          <w:rFonts w:hint="eastAsia" w:ascii="宋体" w:hAnsi="宋体" w:eastAsia="宋体" w:cs="宋体"/>
          <w:highlight w:val="none"/>
        </w:rPr>
        <w:t>项目地点：</w:t>
      </w:r>
      <w:r>
        <w:rPr>
          <w:rFonts w:hint="eastAsia" w:ascii="宋体" w:hAnsi="宋体" w:eastAsia="宋体" w:cs="宋体"/>
          <w:highlight w:val="none"/>
        </w:rPr>
        <w:t>北京市通州区漷县镇南凤西一路39号院通州院区内</w:t>
      </w:r>
    </w:p>
    <w:p w14:paraId="7A78CACE">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highlight w:val="none"/>
        </w:rPr>
      </w:pPr>
      <w:r>
        <w:rPr>
          <w:rFonts w:hint="eastAsia" w:ascii="宋体" w:hAnsi="宋体" w:eastAsia="宋体" w:cs="宋体"/>
          <w:highlight w:val="none"/>
        </w:rPr>
        <w:t>项目概况：</w:t>
      </w:r>
      <w:r>
        <w:rPr>
          <w:rFonts w:hint="eastAsia" w:ascii="宋体" w:hAnsi="宋体" w:eastAsia="宋体" w:cs="宋体"/>
          <w:highlight w:val="none"/>
        </w:rPr>
        <w:t>主要对项目施工期间按照国家及地方现行法律法规及规范标准要求，规定对见证取样的常用建筑材料、防水材料、保温及配套材料、门窗、装饰装修材料、加固材料等进行工程质量检测，以及室内空气检测、水质检测；由施工单位进行取样、封样、送样，监理单位进行见证。根据工程实际需要对工程现场的实体检测、抽检和复检。</w:t>
      </w:r>
    </w:p>
    <w:p w14:paraId="29A2756C">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项目</w:t>
      </w:r>
      <w:r>
        <w:rPr>
          <w:rFonts w:hint="eastAsia" w:ascii="宋体" w:hAnsi="宋体" w:eastAsia="宋体" w:cs="宋体"/>
          <w:highlight w:val="none"/>
        </w:rPr>
        <w:t>控制价：</w:t>
      </w:r>
      <w:r>
        <w:rPr>
          <w:rFonts w:hint="eastAsia" w:ascii="宋体" w:hAnsi="宋体" w:eastAsia="宋体" w:cs="宋体"/>
          <w:highlight w:val="none"/>
          <w:lang w:val="en-US" w:eastAsia="zh-CN"/>
        </w:rPr>
        <w:t>15.5896万</w:t>
      </w:r>
      <w:r>
        <w:rPr>
          <w:rFonts w:hint="eastAsia" w:ascii="宋体" w:hAnsi="宋体" w:eastAsia="宋体" w:cs="宋体"/>
          <w:highlight w:val="none"/>
        </w:rPr>
        <w:t>元</w:t>
      </w:r>
      <w:r>
        <w:rPr>
          <w:rFonts w:hint="eastAsia" w:ascii="宋体" w:hAnsi="宋体" w:eastAsia="宋体" w:cs="宋体"/>
          <w:highlight w:val="none"/>
        </w:rPr>
        <w:t>；资金来源</w:t>
      </w:r>
      <w:r>
        <w:rPr>
          <w:rFonts w:hint="eastAsia" w:ascii="宋体" w:hAnsi="宋体" w:eastAsia="宋体" w:cs="宋体"/>
          <w:highlight w:val="none"/>
        </w:rPr>
        <w:t>：</w:t>
      </w:r>
      <w:r>
        <w:rPr>
          <w:rFonts w:hint="eastAsia" w:ascii="宋体" w:hAnsi="宋体" w:eastAsia="宋体" w:cs="宋体"/>
          <w:highlight w:val="none"/>
          <w:lang w:val="en-US" w:eastAsia="zh-CN"/>
        </w:rPr>
        <w:t>财政性资金。</w:t>
      </w:r>
    </w:p>
    <w:p w14:paraId="01A0958F">
      <w:pPr>
        <w:pStyle w:val="3"/>
        <w:bidi w:val="0"/>
        <w:rPr>
          <w:rFonts w:hint="eastAsia"/>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lang w:val="en-US" w:eastAsia="zh-CN"/>
        </w:rPr>
        <w:t>响应人</w:t>
      </w:r>
      <w:r>
        <w:rPr>
          <w:rFonts w:hint="eastAsia"/>
          <w:highlight w:val="none"/>
        </w:rPr>
        <w:t>须知</w:t>
      </w:r>
    </w:p>
    <w:p w14:paraId="41E72A35">
      <w:pPr>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响应人必须是在中华人民共和国境内注册的具有独立承担民事责任能力的法人或其他组织，并取得合法企业工商营业执照、事业单位具备事业单位法人证书。</w:t>
      </w:r>
    </w:p>
    <w:p w14:paraId="010ACB6E">
      <w:pPr>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响应人具有良好的商业信誉、健全的财务会计制度及履约记录。需出具上一年度审计报告复印件或近半年任意一个月公司的财务报表（资产负债表、利润表、现金流量表），成立不满一年的，提供自成立至今的财务报表或近半年银行出具的资信证明材料。</w:t>
      </w:r>
    </w:p>
    <w:p w14:paraId="1E34621F">
      <w:pPr>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响应人有依法缴纳税收和社会保障资金的良好记录（近三个月内任意一个月）。</w:t>
      </w:r>
    </w:p>
    <w:p w14:paraId="273B45B6">
      <w:pPr>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提</w:t>
      </w:r>
      <w:r>
        <w:rPr>
          <w:rFonts w:hint="eastAsia" w:ascii="宋体" w:hAnsi="宋体" w:eastAsia="宋体" w:cs="宋体"/>
          <w:b w:val="0"/>
          <w:bCs w:val="0"/>
          <w:szCs w:val="21"/>
          <w:highlight w:val="none"/>
        </w:rPr>
        <w:t>供报名近3日内</w:t>
      </w:r>
      <w:r>
        <w:rPr>
          <w:rFonts w:hint="eastAsia" w:ascii="宋体" w:hAnsi="宋体" w:eastAsia="宋体" w:cs="宋体"/>
          <w:szCs w:val="21"/>
          <w:highlight w:val="none"/>
        </w:rPr>
        <w:t>“信用中国”网站下载的信用报告及中国政府采购网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"http://www.ccgp.gov.cn/cr" \t "_blank" \o "政府采购严重违法失信行为记录管理系统" </w:instrText>
      </w:r>
      <w:r>
        <w:rPr>
          <w:rFonts w:hint="eastAsia" w:ascii="宋体" w:hAnsi="宋体" w:eastAsia="宋体" w:cs="宋体"/>
          <w:highlight w:val="none"/>
        </w:rPr>
        <w:fldChar w:fldCharType="separate"/>
      </w:r>
      <w:r>
        <w:rPr>
          <w:rFonts w:hint="eastAsia" w:ascii="宋体" w:hAnsi="宋体" w:eastAsia="宋体" w:cs="宋体"/>
          <w:szCs w:val="21"/>
          <w:highlight w:val="none"/>
        </w:rPr>
        <w:t>政府采购严重违法失信行为记录管理系统</w:t>
      </w:r>
      <w:r>
        <w:rPr>
          <w:rFonts w:hint="eastAsia" w:ascii="宋体" w:hAnsi="宋体" w:eastAsia="宋体" w:cs="宋体"/>
          <w:szCs w:val="21"/>
          <w:highlight w:val="none"/>
        </w:rPr>
        <w:fldChar w:fldCharType="end"/>
      </w:r>
      <w:r>
        <w:rPr>
          <w:rFonts w:hint="eastAsia" w:ascii="宋体" w:hAnsi="宋体" w:eastAsia="宋体" w:cs="宋体"/>
          <w:szCs w:val="21"/>
          <w:highlight w:val="none"/>
        </w:rPr>
        <w:t>截图</w:t>
      </w:r>
      <w:r>
        <w:rPr>
          <w:rFonts w:hint="eastAsia" w:ascii="宋体" w:hAnsi="宋体" w:eastAsia="宋体" w:cs="宋体"/>
          <w:szCs w:val="21"/>
          <w:highlight w:val="none"/>
          <w:lang w:eastAsia="zh-CN"/>
        </w:rPr>
        <w:t>，响应人不</w:t>
      </w:r>
      <w:r>
        <w:rPr>
          <w:rFonts w:hint="eastAsia" w:ascii="宋体" w:hAnsi="宋体" w:eastAsia="宋体" w:cs="宋体"/>
          <w:szCs w:val="21"/>
          <w:highlight w:val="none"/>
          <w:lang w:val="en-US" w:eastAsia="zh-CN"/>
        </w:rPr>
        <w:t>得</w:t>
      </w:r>
      <w:r>
        <w:rPr>
          <w:rFonts w:hint="eastAsia" w:ascii="宋体" w:hAnsi="宋体" w:eastAsia="宋体" w:cs="宋体"/>
          <w:szCs w:val="21"/>
          <w:highlight w:val="none"/>
          <w:lang w:eastAsia="zh-CN"/>
        </w:rPr>
        <w:t>被列入“中国政府采购网”“信用中国”等系统的失信被执行人、重大税收违法案件当事人名单、政府采购严重违法失信行为记录名单。</w:t>
      </w:r>
      <w:r>
        <w:rPr>
          <w:rFonts w:hint="eastAsia" w:ascii="宋体" w:hAnsi="宋体" w:eastAsia="宋体" w:cs="宋体"/>
          <w:szCs w:val="21"/>
          <w:highlight w:val="none"/>
          <w:lang w:val="en-US" w:eastAsia="zh-CN"/>
        </w:rPr>
        <w:t>且</w:t>
      </w:r>
      <w:r>
        <w:rPr>
          <w:rFonts w:hint="eastAsia" w:ascii="宋体" w:hAnsi="宋体" w:eastAsia="宋体" w:cs="宋体"/>
          <w:szCs w:val="21"/>
          <w:highlight w:val="none"/>
        </w:rPr>
        <w:t>未处于被责令停业、响应资格被取消、财产被接管、冻结、破产状态</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且</w:t>
      </w:r>
      <w:r>
        <w:rPr>
          <w:rFonts w:hint="eastAsia" w:ascii="宋体" w:hAnsi="宋体" w:eastAsia="宋体" w:cs="宋体"/>
          <w:szCs w:val="21"/>
          <w:highlight w:val="none"/>
        </w:rPr>
        <w:t>在经营活动中没有重大违法记录，提供相关承诺书。</w:t>
      </w:r>
    </w:p>
    <w:p w14:paraId="59CACFB6">
      <w:pPr>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响应人须提供在近三年内</w:t>
      </w:r>
      <w:r>
        <w:rPr>
          <w:rFonts w:hint="eastAsia" w:ascii="宋体" w:hAnsi="宋体" w:eastAsia="宋体" w:cs="宋体"/>
          <w:szCs w:val="21"/>
          <w:highlight w:val="none"/>
          <w:lang w:val="en-US" w:eastAsia="zh-CN"/>
        </w:rPr>
        <w:t>(22年2月至今)</w:t>
      </w:r>
      <w:r>
        <w:rPr>
          <w:rFonts w:hint="eastAsia" w:ascii="宋体" w:hAnsi="宋体" w:eastAsia="宋体" w:cs="宋体"/>
          <w:szCs w:val="21"/>
          <w:highlight w:val="none"/>
          <w:lang w:val="en-US" w:eastAsia="zh-CN"/>
        </w:rPr>
        <w:t>类似服务业绩，提供业绩一览表。（至少提供1份合同复印件，包含首页、服务内容页及签字页）。</w:t>
      </w:r>
    </w:p>
    <w:p w14:paraId="5E051BFF">
      <w:pPr>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200"/>
        <w:textAlignment w:val="auto"/>
        <w:rPr>
          <w:rFonts w:hint="eastAsia" w:asciiTheme="minorEastAsia" w:hAnsiTheme="minorEastAsia"/>
          <w:szCs w:val="21"/>
          <w:highlight w:val="none"/>
        </w:rPr>
      </w:pPr>
      <w:r>
        <w:rPr>
          <w:rFonts w:hint="eastAsia" w:ascii="宋体" w:hAnsi="宋体" w:eastAsia="宋体" w:cs="宋体"/>
          <w:szCs w:val="21"/>
          <w:highlight w:val="none"/>
          <w:lang w:val="en-US" w:eastAsia="zh-CN"/>
        </w:rPr>
        <w:t>响应人须具备并提供北京市住房和城乡建设委员会许可的见证取样检测机构资质。</w:t>
      </w:r>
    </w:p>
    <w:p w14:paraId="1DF85AF3">
      <w:pPr>
        <w:keepNext w:val="0"/>
        <w:keepLines w:val="0"/>
        <w:pageBreakBefore w:val="0"/>
        <w:widowControl w:val="0"/>
        <w:numPr>
          <w:ilvl w:val="0"/>
          <w:numId w:val="3"/>
        </w:numPr>
        <w:kinsoku/>
        <w:wordWrap/>
        <w:overflowPunct/>
        <w:topLinePunct w:val="0"/>
        <w:autoSpaceDE/>
        <w:autoSpaceDN/>
        <w:bidi w:val="0"/>
        <w:adjustRightInd/>
        <w:snapToGrid/>
        <w:ind w:left="0" w:leftChars="0" w:firstLine="422" w:firstLineChars="200"/>
        <w:textAlignment w:val="auto"/>
        <w:rPr>
          <w:rFonts w:hint="eastAsia" w:asciiTheme="minorEastAsia" w:hAnsiTheme="minorEastAsia"/>
          <w:szCs w:val="21"/>
          <w:highlight w:val="none"/>
        </w:rPr>
      </w:pPr>
      <w:r>
        <w:rPr>
          <w:rFonts w:hint="eastAsia" w:ascii="宋体" w:hAnsi="宋体" w:eastAsia="宋体" w:cs="宋体"/>
          <w:b/>
          <w:bCs/>
          <w:szCs w:val="21"/>
          <w:highlight w:val="none"/>
          <w:lang w:val="en-US" w:eastAsia="zh-CN"/>
        </w:rPr>
        <w:t>报名需准备的材料</w:t>
      </w:r>
      <w:r>
        <w:rPr>
          <w:rFonts w:hint="eastAsia" w:ascii="宋体" w:hAnsi="宋体" w:eastAsia="宋体" w:cs="宋体"/>
          <w:b/>
          <w:bCs/>
          <w:szCs w:val="21"/>
          <w:highlight w:val="none"/>
        </w:rPr>
        <w:t>：</w:t>
      </w:r>
      <w:r>
        <w:rPr>
          <w:rFonts w:hint="eastAsia" w:ascii="宋体" w:hAnsi="宋体" w:eastAsia="宋体" w:cs="宋体"/>
          <w:szCs w:val="21"/>
          <w:highlight w:val="none"/>
        </w:rPr>
        <w:t>①法人授权委托书</w:t>
      </w:r>
      <w:r>
        <w:rPr>
          <w:rFonts w:hint="eastAsia" w:ascii="宋体" w:hAnsi="宋体" w:eastAsia="宋体" w:cs="宋体"/>
          <w:szCs w:val="21"/>
          <w:highlight w:val="none"/>
          <w:lang w:eastAsia="zh-CN"/>
        </w:rPr>
        <w:t>；</w:t>
      </w:r>
      <w:r>
        <w:rPr>
          <w:rFonts w:hint="eastAsia" w:ascii="宋体" w:hAnsi="宋体" w:eastAsia="宋体" w:cs="宋体"/>
          <w:szCs w:val="21"/>
          <w:highlight w:val="none"/>
        </w:rPr>
        <w:t>②法定代表人身份证</w:t>
      </w:r>
      <w:r>
        <w:rPr>
          <w:rFonts w:hint="eastAsia" w:ascii="宋体" w:hAnsi="宋体" w:eastAsia="宋体" w:cs="宋体"/>
          <w:szCs w:val="21"/>
          <w:highlight w:val="none"/>
          <w:lang w:eastAsia="zh-CN"/>
        </w:rPr>
        <w:t>；</w:t>
      </w:r>
      <w:r>
        <w:rPr>
          <w:rFonts w:hint="eastAsia" w:ascii="宋体" w:hAnsi="宋体" w:eastAsia="宋体" w:cs="宋体"/>
          <w:szCs w:val="21"/>
          <w:highlight w:val="none"/>
        </w:rPr>
        <w:t>③经办人身份证</w:t>
      </w:r>
      <w:r>
        <w:rPr>
          <w:rFonts w:hint="eastAsia" w:ascii="宋体" w:hAnsi="宋体" w:eastAsia="宋体" w:cs="宋体"/>
          <w:szCs w:val="21"/>
          <w:highlight w:val="none"/>
          <w:lang w:eastAsia="zh-CN"/>
        </w:rPr>
        <w:t>；</w:t>
      </w:r>
      <w:r>
        <w:rPr>
          <w:rFonts w:hint="eastAsia" w:ascii="宋体" w:hAnsi="宋体" w:eastAsia="宋体" w:cs="宋体"/>
          <w:szCs w:val="21"/>
          <w:highlight w:val="none"/>
        </w:rPr>
        <w:t>④营业执照⑤业绩证明，</w:t>
      </w:r>
      <w:r>
        <w:rPr>
          <w:rFonts w:hint="eastAsia" w:ascii="宋体" w:hAnsi="宋体" w:eastAsia="宋体" w:cs="宋体"/>
          <w:szCs w:val="21"/>
          <w:highlight w:val="none"/>
          <w:lang w:val="en-US" w:eastAsia="zh-CN"/>
        </w:rPr>
        <w:t>以</w:t>
      </w:r>
      <w:r>
        <w:rPr>
          <w:rFonts w:hint="eastAsia" w:ascii="宋体" w:hAnsi="宋体" w:eastAsia="宋体" w:cs="宋体"/>
          <w:szCs w:val="21"/>
          <w:highlight w:val="none"/>
        </w:rPr>
        <w:t>及响应须知</w:t>
      </w:r>
      <w:r>
        <w:rPr>
          <w:rFonts w:hint="eastAsia" w:ascii="宋体" w:hAnsi="宋体" w:eastAsia="宋体" w:cs="宋体"/>
          <w:szCs w:val="21"/>
          <w:highlight w:val="none"/>
          <w:lang w:val="en-US" w:eastAsia="zh-CN"/>
        </w:rPr>
        <w:t>中所</w:t>
      </w:r>
      <w:r>
        <w:rPr>
          <w:rFonts w:hint="eastAsia" w:ascii="宋体" w:hAnsi="宋体" w:eastAsia="宋体" w:cs="宋体"/>
          <w:szCs w:val="21"/>
          <w:highlight w:val="none"/>
        </w:rPr>
        <w:t>要求提供的其他</w:t>
      </w:r>
      <w:r>
        <w:rPr>
          <w:rFonts w:hint="eastAsia" w:ascii="宋体" w:hAnsi="宋体" w:eastAsia="宋体" w:cs="宋体"/>
          <w:szCs w:val="21"/>
          <w:highlight w:val="none"/>
          <w:lang w:val="en-US" w:eastAsia="zh-CN"/>
        </w:rPr>
        <w:t>相关</w:t>
      </w:r>
      <w:r>
        <w:rPr>
          <w:rFonts w:hint="eastAsia" w:ascii="宋体" w:hAnsi="宋体" w:eastAsia="宋体" w:cs="宋体"/>
          <w:szCs w:val="21"/>
          <w:highlight w:val="none"/>
        </w:rPr>
        <w:t>资料。</w:t>
      </w:r>
      <w:r>
        <w:rPr>
          <w:rFonts w:hint="eastAsia" w:ascii="宋体" w:hAnsi="宋体" w:eastAsia="宋体" w:cs="宋体"/>
          <w:szCs w:val="21"/>
          <w:highlight w:val="none"/>
          <w:lang w:val="en-US" w:eastAsia="zh-CN"/>
        </w:rPr>
        <w:t>以上材料需提供</w:t>
      </w:r>
      <w:r>
        <w:rPr>
          <w:rFonts w:hint="eastAsia" w:ascii="宋体" w:hAnsi="宋体" w:eastAsia="宋体" w:cs="宋体"/>
          <w:szCs w:val="21"/>
          <w:highlight w:val="none"/>
        </w:rPr>
        <w:t>复印件</w:t>
      </w:r>
      <w:r>
        <w:rPr>
          <w:rFonts w:hint="eastAsia" w:ascii="宋体" w:hAnsi="宋体" w:eastAsia="宋体" w:cs="宋体"/>
          <w:szCs w:val="21"/>
          <w:highlight w:val="none"/>
          <w:lang w:val="en-US" w:eastAsia="zh-CN"/>
        </w:rPr>
        <w:t>并</w:t>
      </w:r>
      <w:r>
        <w:rPr>
          <w:rFonts w:hint="eastAsia" w:ascii="宋体" w:hAnsi="宋体" w:eastAsia="宋体" w:cs="宋体"/>
          <w:szCs w:val="21"/>
          <w:highlight w:val="none"/>
        </w:rPr>
        <w:t>加盖公章。</w:t>
      </w:r>
    </w:p>
    <w:p w14:paraId="5F9DBE38">
      <w:pPr>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200"/>
        <w:textAlignment w:val="auto"/>
        <w:rPr>
          <w:rFonts w:hint="eastAsia" w:asciiTheme="minorEastAsia" w:hAnsiTheme="minorEastAsia"/>
          <w:szCs w:val="21"/>
          <w:highlight w:val="none"/>
        </w:rPr>
      </w:pPr>
      <w:r>
        <w:rPr>
          <w:rFonts w:hint="eastAsia" w:ascii="宋体" w:hAnsi="宋体" w:eastAsia="宋体" w:cs="宋体"/>
          <w:szCs w:val="21"/>
          <w:highlight w:val="none"/>
        </w:rPr>
        <w:t>报名</w:t>
      </w:r>
      <w:r>
        <w:rPr>
          <w:rFonts w:hint="eastAsia" w:ascii="宋体" w:hAnsi="宋体" w:eastAsia="宋体" w:cs="宋体"/>
          <w:szCs w:val="21"/>
          <w:highlight w:val="none"/>
          <w:lang w:val="en-US" w:eastAsia="zh-CN"/>
        </w:rPr>
        <w:t>具体操作</w:t>
      </w:r>
      <w:r>
        <w:rPr>
          <w:rFonts w:hint="eastAsia" w:ascii="宋体" w:hAnsi="宋体" w:eastAsia="宋体" w:cs="宋体"/>
          <w:szCs w:val="21"/>
          <w:highlight w:val="none"/>
        </w:rPr>
        <w:t>方式：响应人请将上述需提供的所有材料复印件加盖公章，以</w:t>
      </w:r>
      <w:r>
        <w:rPr>
          <w:rFonts w:hint="eastAsia" w:ascii="宋体" w:hAnsi="宋体" w:eastAsia="宋体" w:cs="宋体"/>
          <w:szCs w:val="21"/>
          <w:highlight w:val="none"/>
          <w:lang w:val="en-US" w:eastAsia="zh-CN"/>
        </w:rPr>
        <w:t>电子</w:t>
      </w:r>
      <w:r>
        <w:rPr>
          <w:rFonts w:hint="eastAsia" w:ascii="宋体" w:hAnsi="宋体" w:eastAsia="宋体" w:cs="宋体"/>
          <w:szCs w:val="21"/>
          <w:highlight w:val="none"/>
        </w:rPr>
        <w:t>扫描件的形式</w:t>
      </w:r>
      <w:r>
        <w:rPr>
          <w:rFonts w:hint="eastAsia" w:ascii="宋体" w:hAnsi="宋体" w:eastAsia="宋体" w:cs="宋体"/>
          <w:szCs w:val="21"/>
          <w:highlight w:val="none"/>
          <w:lang w:eastAsia="zh-CN"/>
        </w:rPr>
        <w:t>，</w:t>
      </w:r>
      <w:r>
        <w:rPr>
          <w:rFonts w:hint="eastAsia" w:ascii="宋体" w:hAnsi="宋体" w:eastAsia="宋体" w:cs="宋体"/>
          <w:szCs w:val="21"/>
          <w:highlight w:val="none"/>
        </w:rPr>
        <w:t>发送至指定邮箱：</w:t>
      </w:r>
      <w:r>
        <w:rPr>
          <w:rFonts w:hint="eastAsia" w:asciiTheme="minorEastAsia" w:hAnsiTheme="minorEastAsia"/>
          <w:szCs w:val="21"/>
          <w:highlight w:val="none"/>
        </w:rPr>
        <w:t>rmyyzcbm@163.com。</w:t>
      </w:r>
    </w:p>
    <w:p w14:paraId="419743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szCs w:val="21"/>
          <w:highlight w:val="none"/>
        </w:rPr>
      </w:pPr>
      <w:r>
        <w:rPr>
          <w:rFonts w:hint="eastAsia" w:asciiTheme="minorEastAsia" w:hAnsiTheme="minorEastAsia"/>
          <w:szCs w:val="21"/>
          <w:highlight w:val="none"/>
        </w:rPr>
        <w:t>邮件命名方式：公司名称+</w:t>
      </w:r>
      <w:r>
        <w:rPr>
          <w:rFonts w:hint="eastAsia" w:asciiTheme="minorEastAsia" w:hAnsiTheme="minorEastAsia"/>
          <w:szCs w:val="21"/>
          <w:highlight w:val="none"/>
          <w:u w:val="none"/>
        </w:rPr>
        <w:t>北京大学人民医院通州院区门厅改造建设工程项目（工程质量检测）</w:t>
      </w:r>
      <w:r>
        <w:rPr>
          <w:rFonts w:hint="eastAsia" w:asciiTheme="minorEastAsia" w:hAnsiTheme="minorEastAsia"/>
          <w:szCs w:val="21"/>
          <w:highlight w:val="none"/>
        </w:rPr>
        <w:t>材料。</w:t>
      </w:r>
    </w:p>
    <w:p w14:paraId="62F472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szCs w:val="21"/>
          <w:highlight w:val="none"/>
        </w:rPr>
      </w:pPr>
      <w:r>
        <w:rPr>
          <w:rFonts w:hint="eastAsia" w:asciiTheme="minorEastAsia" w:hAnsiTheme="minorEastAsia"/>
          <w:szCs w:val="21"/>
          <w:highlight w:val="none"/>
        </w:rPr>
        <w:t>邮件内需注明经办人姓名、联系方式、邮箱。</w:t>
      </w:r>
    </w:p>
    <w:p w14:paraId="3B0C9B2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szCs w:val="21"/>
          <w:highlight w:val="none"/>
        </w:rPr>
      </w:pPr>
      <w:r>
        <w:rPr>
          <w:rFonts w:hint="eastAsia" w:asciiTheme="minorEastAsia" w:hAnsiTheme="minorEastAsia"/>
          <w:szCs w:val="21"/>
          <w:highlight w:val="none"/>
        </w:rPr>
        <w:t>报名时间：</w:t>
      </w:r>
      <w:r>
        <w:rPr>
          <w:rFonts w:hint="eastAsia" w:asciiTheme="minorEastAsia" w:hAnsiTheme="minorEastAsia"/>
          <w:szCs w:val="21"/>
          <w:highlight w:val="none"/>
        </w:rPr>
        <w:t>2025年</w:t>
      </w:r>
      <w:r>
        <w:rPr>
          <w:rFonts w:hint="eastAsia" w:asciiTheme="minorEastAsia" w:hAnsiTheme="minorEastAsia"/>
          <w:szCs w:val="21"/>
          <w:highlight w:val="none"/>
          <w:lang w:val="en-US" w:eastAsia="zh-CN"/>
        </w:rPr>
        <w:t>4</w:t>
      </w:r>
      <w:r>
        <w:rPr>
          <w:rFonts w:hint="eastAsia" w:asciiTheme="minorEastAsia" w:hAnsiTheme="minorEastAsia"/>
          <w:szCs w:val="21"/>
          <w:highlight w:val="none"/>
        </w:rPr>
        <w:t>月</w:t>
      </w:r>
      <w:r>
        <w:rPr>
          <w:rFonts w:hint="eastAsia" w:asciiTheme="minorEastAsia" w:hAnsiTheme="minorEastAsia"/>
          <w:szCs w:val="21"/>
          <w:highlight w:val="none"/>
          <w:lang w:val="en-US" w:eastAsia="zh-CN"/>
        </w:rPr>
        <w:t>2</w:t>
      </w:r>
      <w:r>
        <w:rPr>
          <w:rFonts w:hint="eastAsia" w:asciiTheme="minorEastAsia" w:hAnsiTheme="minorEastAsia"/>
          <w:szCs w:val="21"/>
          <w:highlight w:val="none"/>
        </w:rPr>
        <w:t>日9:00——2025年</w:t>
      </w:r>
      <w:r>
        <w:rPr>
          <w:rFonts w:hint="eastAsia" w:asciiTheme="minorEastAsia" w:hAnsiTheme="minorEastAsia"/>
          <w:szCs w:val="21"/>
          <w:highlight w:val="none"/>
          <w:lang w:val="en-US" w:eastAsia="zh-CN"/>
        </w:rPr>
        <w:t>4</w:t>
      </w:r>
      <w:r>
        <w:rPr>
          <w:rFonts w:hint="eastAsia" w:asciiTheme="minorEastAsia" w:hAnsiTheme="minorEastAsia"/>
          <w:szCs w:val="21"/>
          <w:highlight w:val="none"/>
        </w:rPr>
        <w:t>月</w:t>
      </w:r>
      <w:r>
        <w:rPr>
          <w:rFonts w:hint="eastAsia" w:asciiTheme="minorEastAsia" w:hAnsiTheme="minorEastAsia"/>
          <w:szCs w:val="21"/>
          <w:highlight w:val="none"/>
          <w:lang w:val="en-US" w:eastAsia="zh-CN"/>
        </w:rPr>
        <w:t>9</w:t>
      </w:r>
      <w:r>
        <w:rPr>
          <w:rFonts w:hint="eastAsia" w:asciiTheme="minorEastAsia" w:hAnsiTheme="minorEastAsia"/>
          <w:szCs w:val="21"/>
          <w:highlight w:val="none"/>
        </w:rPr>
        <w:t>日16:30</w:t>
      </w:r>
    </w:p>
    <w:p w14:paraId="2C00910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szCs w:val="21"/>
          <w:highlight w:val="none"/>
        </w:rPr>
      </w:pPr>
      <w:r>
        <w:rPr>
          <w:rFonts w:hint="eastAsia" w:asciiTheme="minorEastAsia" w:hAnsiTheme="minorEastAsia"/>
          <w:szCs w:val="21"/>
          <w:highlight w:val="none"/>
        </w:rPr>
        <w:t>如有疑问请联系：</w:t>
      </w:r>
      <w:r>
        <w:rPr>
          <w:rFonts w:hint="eastAsia" w:asciiTheme="minorEastAsia" w:hAnsiTheme="minorEastAsia"/>
          <w:szCs w:val="21"/>
          <w:highlight w:val="none"/>
          <w:lang w:val="en-US" w:eastAsia="zh-CN"/>
        </w:rPr>
        <w:t>010-</w:t>
      </w:r>
      <w:r>
        <w:rPr>
          <w:rFonts w:hint="eastAsia" w:asciiTheme="minorEastAsia" w:hAnsiTheme="minorEastAsia"/>
          <w:szCs w:val="21"/>
          <w:highlight w:val="none"/>
        </w:rPr>
        <w:t>88325859苗老师</w:t>
      </w:r>
    </w:p>
    <w:p w14:paraId="25D3368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szCs w:val="21"/>
          <w:highlight w:val="none"/>
        </w:rPr>
      </w:pPr>
      <w:r>
        <w:rPr>
          <w:rFonts w:hint="eastAsia" w:asciiTheme="minorEastAsia" w:hAnsiTheme="minorEastAsia"/>
          <w:szCs w:val="21"/>
          <w:highlight w:val="none"/>
        </w:rPr>
        <w:t>本项目不接受联合体响应。</w:t>
      </w:r>
    </w:p>
    <w:p w14:paraId="6345BF3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szCs w:val="21"/>
          <w:highlight w:val="none"/>
        </w:rPr>
      </w:pPr>
      <w:r>
        <w:rPr>
          <w:rFonts w:hint="eastAsia" w:asciiTheme="minorEastAsia" w:hAnsiTheme="minorEastAsia"/>
          <w:szCs w:val="21"/>
          <w:highlight w:val="none"/>
        </w:rPr>
        <w:t>采购文件详见本公告附件，请直接下载。</w:t>
      </w:r>
    </w:p>
    <w:p w14:paraId="057CCDA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szCs w:val="21"/>
          <w:highlight w:val="none"/>
        </w:rPr>
      </w:pPr>
      <w:r>
        <w:rPr>
          <w:rFonts w:hint="eastAsia" w:asciiTheme="minorEastAsia" w:hAnsiTheme="minorEastAsia"/>
          <w:szCs w:val="21"/>
          <w:highlight w:val="none"/>
        </w:rPr>
        <w:t>本公告于北京大学人民医院官方网站发布，请以官方网站信息及附件为准。</w:t>
      </w:r>
    </w:p>
    <w:p w14:paraId="60A06981">
      <w:pPr>
        <w:pStyle w:val="2"/>
        <w:numPr>
          <w:ilvl w:val="0"/>
          <w:numId w:val="1"/>
        </w:numPr>
        <w:bidi w:val="0"/>
        <w:ind w:left="0" w:leftChars="0" w:firstLine="0" w:firstLineChars="0"/>
        <w:rPr>
          <w:rFonts w:hint="eastAsia"/>
          <w:highlight w:val="none"/>
          <w:lang w:val="en-US" w:eastAsia="zh-CN"/>
        </w:rPr>
      </w:pPr>
      <w:r>
        <w:rPr>
          <w:rFonts w:hint="eastAsia"/>
          <w:highlight w:val="none"/>
          <w:lang w:val="en-US" w:eastAsia="zh-CN"/>
        </w:rPr>
        <w:t>项目要求</w:t>
      </w:r>
    </w:p>
    <w:p w14:paraId="103F20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Times New Roman"/>
          <w:b/>
          <w:bCs/>
          <w:kern w:val="2"/>
          <w:sz w:val="28"/>
          <w:szCs w:val="28"/>
          <w:highlight w:val="none"/>
        </w:rPr>
      </w:pPr>
      <w:r>
        <w:rPr>
          <w:rFonts w:hint="eastAsia" w:ascii="宋体" w:hAnsi="宋体" w:eastAsia="宋体" w:cs="宋体"/>
          <w:b/>
          <w:bCs/>
          <w:kern w:val="2"/>
          <w:sz w:val="21"/>
          <w:szCs w:val="21"/>
          <w:highlight w:val="none"/>
          <w:lang w:val="en-US" w:eastAsia="zh-CN" w:bidi="ar"/>
        </w:rPr>
        <w:t>（一）项目资质要求</w:t>
      </w:r>
    </w:p>
    <w:p w14:paraId="07717E8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szCs w:val="21"/>
          <w:highlight w:val="none"/>
        </w:rPr>
      </w:pPr>
      <w:r>
        <w:rPr>
          <w:rFonts w:hint="eastAsia" w:asciiTheme="minorEastAsia" w:hAnsiTheme="minorEastAsia"/>
          <w:szCs w:val="21"/>
          <w:highlight w:val="none"/>
          <w:lang w:val="en-US" w:eastAsia="zh-CN"/>
        </w:rPr>
        <w:t>须是在中华人民共和国境内注册的具有独立承担民事责任能力的法人或其他组织，并取得合法企业工商营业执照。</w:t>
      </w:r>
    </w:p>
    <w:p w14:paraId="51F900A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szCs w:val="21"/>
          <w:highlight w:val="none"/>
        </w:rPr>
      </w:pPr>
      <w:r>
        <w:rPr>
          <w:rFonts w:hint="eastAsia" w:asciiTheme="minorEastAsia" w:hAnsiTheme="minorEastAsia"/>
          <w:szCs w:val="21"/>
          <w:highlight w:val="none"/>
          <w:lang w:val="en-US" w:eastAsia="zh-CN"/>
        </w:rPr>
        <w:t>须具有相关经营范围及同类项目经验；具有履行合同所必须的专业技术、设备和经济能力；具有良好的商业信誉、健全的财务会计制度及履约记录。</w:t>
      </w:r>
    </w:p>
    <w:p w14:paraId="2A40EB7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近三年，经营活动中无重大违法记录。投标人不能被列入“中国政府采购网“信用中国”等系统的失信被执行人、重大税收违法案件当事人名单、政府采购严重违法失信行为记录名单。</w:t>
      </w:r>
    </w:p>
    <w:p w14:paraId="3E7579E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响应人须具备并提供北京市住房和城乡建设委员会许可的见证取样检测机构资质。</w:t>
      </w:r>
    </w:p>
    <w:p w14:paraId="6987C6AB">
      <w:pPr>
        <w:keepNext w:val="0"/>
        <w:keepLines w:val="0"/>
        <w:widowControl w:val="0"/>
        <w:numPr>
          <w:ilvl w:val="0"/>
          <w:numId w:val="0"/>
        </w:numPr>
        <w:suppressLineNumbers w:val="0"/>
        <w:spacing w:before="0" w:beforeAutospacing="0" w:after="0" w:afterAutospacing="0" w:line="560" w:lineRule="exact"/>
        <w:ind w:leftChars="200" w:right="0" w:rightChars="0"/>
        <w:jc w:val="left"/>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（二）项目主要内容</w:t>
      </w:r>
    </w:p>
    <w:p w14:paraId="73A4D19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项目概况：根据医院规划安排，拟将通州院区门诊入口处进行改造，本项目新建建筑面积687.47平方米，建筑高度10.9米，与原医疗主楼贴邻建设，主体使用钢结构形式，功能主要为门诊前厅及患者落客区。</w:t>
      </w:r>
    </w:p>
    <w:p w14:paraId="1744751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地点：北京市通州区漷县镇南凤西一路39号院通州院区内</w:t>
      </w:r>
    </w:p>
    <w:p w14:paraId="7FED311F">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项目内容：在北京大学人民医院通州院区门诊入口处新增门厅，施工期间按照国家及地方现行法律法规及规范标准要求，规定对见证取样的常用建筑材料、防水材料、保温及配套材料、门窗、装饰装修材料等，工程质量及地基基础检测，室内空气检测；施工单位进行取样、封样、送样，监理单位进行见证。根据工程实际需要对工程现场的实体检测、抽检和复检。</w:t>
      </w:r>
    </w:p>
    <w:p w14:paraId="2795F6C5">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（三）项目服务要求</w:t>
      </w:r>
    </w:p>
    <w:p w14:paraId="3D0672E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响应人应遵守发包人的安全保卫及其它有关规章制度。</w:t>
      </w:r>
    </w:p>
    <w:p w14:paraId="3316CA1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响应人应遵守北京市、通州区及医院等疫情防控管理相关规定，如因响应人原因对医院运营产生影响的，响应人应承担相应责任。</w:t>
      </w:r>
    </w:p>
    <w:p w14:paraId="661090E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因采购人院区内场地有限,故不提供停车条件，响应人自行考虑并承担由此发生的费用。</w:t>
      </w:r>
    </w:p>
    <w:p w14:paraId="5C78685F">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响应人应当于本合同签订后3个工作日内开展现场（或试验室）检测工作，于现场（或试验室）检测工作后3个工作日内按照合同约定完成检测工作，并提交书面工程质量检测报告5份。</w:t>
      </w:r>
    </w:p>
    <w:p w14:paraId="47D3FCE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检测费用为预估价格，最终按照实际发生检测项目及检测数量计算总检测费，并以审计结果为准。</w:t>
      </w:r>
    </w:p>
    <w:p w14:paraId="577DD45C">
      <w:pPr>
        <w:keepNext w:val="0"/>
        <w:keepLines w:val="0"/>
        <w:widowControl w:val="0"/>
        <w:suppressLineNumbers w:val="0"/>
        <w:spacing w:before="0" w:beforeAutospacing="0" w:after="0" w:afterAutospacing="0" w:line="560" w:lineRule="exact"/>
        <w:ind w:left="0" w:right="0"/>
        <w:jc w:val="left"/>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（四）项目预算：</w:t>
      </w:r>
    </w:p>
    <w:p w14:paraId="4895C43A">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工程质量检测预算：155,896.00元</w:t>
      </w:r>
    </w:p>
    <w:p w14:paraId="5D6148D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资金来源：财政性资金</w:t>
      </w:r>
    </w:p>
    <w:p w14:paraId="2B34E9BB">
      <w:pPr>
        <w:pStyle w:val="2"/>
        <w:bidi w:val="0"/>
        <w:rPr>
          <w:rFonts w:hint="eastAsia"/>
          <w:highlight w:val="none"/>
        </w:rPr>
      </w:pPr>
      <w:r>
        <w:rPr>
          <w:rFonts w:hint="eastAsia"/>
          <w:highlight w:val="none"/>
          <w:lang w:val="en-US" w:eastAsia="zh-CN"/>
        </w:rPr>
        <w:t>三</w:t>
      </w:r>
      <w:r>
        <w:rPr>
          <w:rFonts w:hint="eastAsia"/>
          <w:highlight w:val="none"/>
        </w:rPr>
        <w:t>、</w:t>
      </w:r>
      <w:r>
        <w:rPr>
          <w:rFonts w:hint="eastAsia"/>
          <w:highlight w:val="none"/>
          <w:lang w:val="en-US" w:eastAsia="zh-CN"/>
        </w:rPr>
        <w:t>响应</w:t>
      </w:r>
      <w:r>
        <w:rPr>
          <w:rFonts w:hint="eastAsia"/>
          <w:highlight w:val="none"/>
        </w:rPr>
        <w:t>文件</w:t>
      </w:r>
      <w:r>
        <w:rPr>
          <w:rFonts w:hint="eastAsia"/>
          <w:highlight w:val="none"/>
          <w:lang w:val="en-US" w:eastAsia="zh-CN"/>
        </w:rPr>
        <w:t>要求</w:t>
      </w:r>
    </w:p>
    <w:p w14:paraId="0C43B31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cs="Times New Roman" w:asciiTheme="minorEastAsia" w:hAnsiTheme="minorEastAsia"/>
          <w:bCs/>
          <w:szCs w:val="21"/>
          <w:highlight w:val="none"/>
        </w:rPr>
      </w:pPr>
      <w:r>
        <w:rPr>
          <w:rFonts w:hint="eastAsia" w:asciiTheme="minorEastAsia" w:hAnsiTheme="minorEastAsia"/>
          <w:b/>
          <w:bCs w:val="0"/>
          <w:szCs w:val="21"/>
          <w:highlight w:val="none"/>
        </w:rPr>
        <w:t>响应</w:t>
      </w:r>
      <w:r>
        <w:rPr>
          <w:rFonts w:hint="eastAsia" w:cs="Times New Roman" w:asciiTheme="minorEastAsia" w:hAnsiTheme="minorEastAsia"/>
          <w:b/>
          <w:bCs w:val="0"/>
          <w:szCs w:val="21"/>
          <w:highlight w:val="none"/>
          <w:lang w:val="en-US" w:eastAsia="zh-CN"/>
        </w:rPr>
        <w:t xml:space="preserve">文件语言 </w:t>
      </w:r>
      <w:r>
        <w:rPr>
          <w:rFonts w:hint="eastAsia" w:cs="Times New Roman" w:asciiTheme="minorEastAsia" w:hAnsiTheme="minorEastAsia"/>
          <w:bCs/>
          <w:szCs w:val="21"/>
          <w:highlight w:val="none"/>
        </w:rPr>
        <w:t>中文（有关产品型号、专用名词等可除外）。</w:t>
      </w:r>
    </w:p>
    <w:p w14:paraId="11BA60F0">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cs="Times New Roman" w:asciiTheme="minorEastAsia" w:hAnsiTheme="minorEastAsia"/>
          <w:b/>
          <w:bCs w:val="0"/>
          <w:szCs w:val="21"/>
          <w:highlight w:val="none"/>
        </w:rPr>
      </w:pPr>
      <w:r>
        <w:rPr>
          <w:rFonts w:hint="eastAsia" w:cs="Times New Roman" w:asciiTheme="minorEastAsia" w:hAnsiTheme="minorEastAsia"/>
          <w:b/>
          <w:bCs w:val="0"/>
          <w:szCs w:val="21"/>
          <w:highlight w:val="none"/>
        </w:rPr>
        <w:t>响应</w:t>
      </w:r>
      <w:r>
        <w:rPr>
          <w:rFonts w:hint="eastAsia" w:cs="Times New Roman" w:asciiTheme="minorEastAsia" w:hAnsiTheme="minorEastAsia"/>
          <w:b/>
          <w:bCs w:val="0"/>
          <w:szCs w:val="21"/>
          <w:highlight w:val="none"/>
          <w:lang w:val="en-US" w:eastAsia="zh-CN"/>
        </w:rPr>
        <w:t>文件</w:t>
      </w:r>
      <w:r>
        <w:rPr>
          <w:rFonts w:hint="eastAsia" w:cs="Times New Roman" w:asciiTheme="minorEastAsia" w:hAnsiTheme="minorEastAsia"/>
          <w:b/>
          <w:bCs w:val="0"/>
          <w:szCs w:val="21"/>
          <w:highlight w:val="none"/>
        </w:rPr>
        <w:t>组成</w:t>
      </w:r>
    </w:p>
    <w:p w14:paraId="3625860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（1）企业营业执照复印件（加盖公章）</w:t>
      </w:r>
    </w:p>
    <w:p w14:paraId="5893357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（2）</w:t>
      </w:r>
      <w:r>
        <w:rPr>
          <w:rFonts w:cs="Times New Roman" w:asciiTheme="minorEastAsia" w:hAnsiTheme="minorEastAsia"/>
          <w:bCs/>
          <w:szCs w:val="21"/>
          <w:highlight w:val="none"/>
        </w:rPr>
        <w:t>法定代表人证明书</w:t>
      </w:r>
      <w:r>
        <w:rPr>
          <w:rFonts w:hint="eastAsia" w:cs="Times New Roman" w:asciiTheme="minorEastAsia" w:hAnsiTheme="minorEastAsia"/>
          <w:bCs/>
          <w:szCs w:val="21"/>
          <w:highlight w:val="none"/>
        </w:rPr>
        <w:t>（法人签字或盖法人章）和</w:t>
      </w:r>
      <w:r>
        <w:rPr>
          <w:rFonts w:cs="Times New Roman" w:asciiTheme="minorEastAsia" w:hAnsiTheme="minorEastAsia"/>
          <w:bCs/>
          <w:szCs w:val="21"/>
          <w:highlight w:val="none"/>
        </w:rPr>
        <w:t>身份证复印件</w:t>
      </w:r>
      <w:r>
        <w:rPr>
          <w:rFonts w:hint="eastAsia" w:cs="Times New Roman" w:asciiTheme="minorEastAsia" w:hAnsiTheme="minorEastAsia"/>
          <w:bCs/>
          <w:szCs w:val="21"/>
          <w:highlight w:val="none"/>
        </w:rPr>
        <w:t>，</w:t>
      </w:r>
      <w:r>
        <w:rPr>
          <w:rFonts w:cs="Times New Roman" w:asciiTheme="minorEastAsia" w:hAnsiTheme="minorEastAsia"/>
          <w:bCs/>
          <w:szCs w:val="21"/>
          <w:highlight w:val="none"/>
        </w:rPr>
        <w:t>授权委托书和</w:t>
      </w:r>
      <w:r>
        <w:rPr>
          <w:rFonts w:hint="eastAsia" w:cs="Times New Roman" w:asciiTheme="minorEastAsia" w:hAnsiTheme="minorEastAsia"/>
          <w:bCs/>
          <w:szCs w:val="21"/>
          <w:highlight w:val="none"/>
        </w:rPr>
        <w:t>受委托</w:t>
      </w:r>
      <w:r>
        <w:rPr>
          <w:rFonts w:cs="Times New Roman" w:asciiTheme="minorEastAsia" w:hAnsiTheme="minorEastAsia"/>
          <w:bCs/>
          <w:szCs w:val="21"/>
          <w:highlight w:val="none"/>
        </w:rPr>
        <w:t>人身份证复印件</w:t>
      </w:r>
      <w:r>
        <w:rPr>
          <w:rFonts w:hint="eastAsia" w:cs="Times New Roman" w:asciiTheme="minorEastAsia" w:hAnsiTheme="minorEastAsia"/>
          <w:bCs/>
          <w:szCs w:val="21"/>
          <w:highlight w:val="none"/>
        </w:rPr>
        <w:t>（加盖公章，法人代表和受委托人签字，开启时携带身份证原件）</w:t>
      </w:r>
    </w:p>
    <w:p w14:paraId="79E514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Cs/>
          <w:kern w:val="2"/>
          <w:sz w:val="21"/>
          <w:szCs w:val="21"/>
          <w:highlight w:val="none"/>
        </w:rPr>
      </w:pPr>
      <w:r>
        <w:rPr>
          <w:rFonts w:hint="eastAsia" w:cs="Times New Roman" w:asciiTheme="minorEastAsia" w:hAnsiTheme="minorEastAsia"/>
          <w:szCs w:val="21"/>
          <w:highlight w:val="none"/>
        </w:rPr>
        <w:t>（</w:t>
      </w:r>
      <w:r>
        <w:rPr>
          <w:rFonts w:hint="eastAsia" w:cs="Times New Roman" w:asciiTheme="minorEastAsia" w:hAnsiTheme="minorEastAsia"/>
          <w:szCs w:val="21"/>
          <w:highlight w:val="none"/>
          <w:lang w:val="en-US" w:eastAsia="zh-CN"/>
        </w:rPr>
        <w:t>3</w:t>
      </w:r>
      <w:r>
        <w:rPr>
          <w:rFonts w:hint="eastAsia" w:cs="Times New Roman" w:asciiTheme="minorEastAsia" w:hAnsiTheme="minorEastAsia"/>
          <w:szCs w:val="21"/>
          <w:highlight w:val="none"/>
        </w:rPr>
        <w:t>）</w:t>
      </w:r>
      <w:r>
        <w:rPr>
          <w:rFonts w:hint="eastAsia" w:cs="Times New Roman" w:asciiTheme="minorEastAsia" w:hAnsiTheme="minorEastAsia"/>
          <w:szCs w:val="21"/>
          <w:highlight w:val="none"/>
          <w:lang w:val="en-US" w:eastAsia="zh-CN"/>
        </w:rPr>
        <w:t>提供近三年内（2022年2月至今）类似服务项目业绩，提供业绩一览表（格式统一如下，并加盖公章），及对应的合同复印件（至少包含合同首页、签章页、并加盖公章）。</w:t>
      </w:r>
    </w:p>
    <w:p w14:paraId="7F6C76F5">
      <w:pPr>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项目业绩一览表</w:t>
      </w:r>
    </w:p>
    <w:tbl>
      <w:tblPr>
        <w:tblStyle w:val="12"/>
        <w:tblW w:w="4907"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6"/>
        <w:gridCol w:w="2770"/>
        <w:gridCol w:w="3142"/>
        <w:gridCol w:w="2701"/>
      </w:tblGrid>
      <w:tr w14:paraId="6C6DC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9" w:type="pct"/>
            <w:vAlign w:val="center"/>
          </w:tcPr>
          <w:p w14:paraId="7F1C84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r>
              <w:rPr>
                <w:rFonts w:hint="eastAsia" w:cs="Times New Roman" w:asciiTheme="minorEastAsia" w:hAnsiTheme="minorEastAsia" w:eastAsiaTheme="minorEastAsia"/>
                <w:bCs/>
                <w:kern w:val="0"/>
                <w:sz w:val="21"/>
                <w:szCs w:val="21"/>
                <w:highlight w:val="none"/>
              </w:rPr>
              <w:t>序号</w:t>
            </w:r>
          </w:p>
        </w:tc>
        <w:tc>
          <w:tcPr>
            <w:tcW w:w="1495" w:type="pct"/>
            <w:vAlign w:val="center"/>
          </w:tcPr>
          <w:p w14:paraId="042240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r>
              <w:rPr>
                <w:rFonts w:hint="eastAsia" w:cs="Times New Roman" w:asciiTheme="minorEastAsia" w:hAnsiTheme="minorEastAsia" w:eastAsiaTheme="minorEastAsia"/>
                <w:bCs/>
                <w:kern w:val="0"/>
                <w:sz w:val="21"/>
                <w:szCs w:val="21"/>
                <w:highlight w:val="none"/>
              </w:rPr>
              <w:t>合同名称</w:t>
            </w:r>
          </w:p>
        </w:tc>
        <w:tc>
          <w:tcPr>
            <w:tcW w:w="1696" w:type="pct"/>
            <w:vAlign w:val="center"/>
          </w:tcPr>
          <w:p w14:paraId="31058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r>
              <w:rPr>
                <w:rFonts w:hint="eastAsia" w:cs="Times New Roman" w:asciiTheme="minorEastAsia" w:hAnsiTheme="minorEastAsia" w:eastAsiaTheme="minorEastAsia"/>
                <w:bCs/>
                <w:kern w:val="0"/>
                <w:sz w:val="21"/>
                <w:szCs w:val="21"/>
                <w:highlight w:val="none"/>
              </w:rPr>
              <w:t>服务医院或单位名称</w:t>
            </w:r>
          </w:p>
        </w:tc>
        <w:tc>
          <w:tcPr>
            <w:tcW w:w="1458" w:type="pct"/>
            <w:vAlign w:val="center"/>
          </w:tcPr>
          <w:p w14:paraId="3C498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r>
              <w:rPr>
                <w:rFonts w:hint="eastAsia" w:cs="Times New Roman" w:asciiTheme="minorEastAsia" w:hAnsiTheme="minorEastAsia" w:eastAsiaTheme="minorEastAsia"/>
                <w:bCs/>
                <w:kern w:val="0"/>
                <w:sz w:val="21"/>
                <w:szCs w:val="21"/>
                <w:highlight w:val="none"/>
              </w:rPr>
              <w:t>服务期限</w:t>
            </w:r>
          </w:p>
        </w:tc>
      </w:tr>
      <w:tr w14:paraId="368AB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9" w:type="pct"/>
            <w:vAlign w:val="center"/>
          </w:tcPr>
          <w:p w14:paraId="4A4331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r>
              <w:rPr>
                <w:rFonts w:hint="eastAsia" w:cs="Times New Roman" w:asciiTheme="minorEastAsia" w:hAnsiTheme="minorEastAsia" w:eastAsiaTheme="minorEastAsia"/>
                <w:bCs/>
                <w:kern w:val="0"/>
                <w:sz w:val="21"/>
                <w:szCs w:val="21"/>
                <w:highlight w:val="none"/>
              </w:rPr>
              <w:t>1</w:t>
            </w:r>
          </w:p>
        </w:tc>
        <w:tc>
          <w:tcPr>
            <w:tcW w:w="1495" w:type="pct"/>
            <w:vAlign w:val="center"/>
          </w:tcPr>
          <w:p w14:paraId="0EBD23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p>
        </w:tc>
        <w:tc>
          <w:tcPr>
            <w:tcW w:w="1696" w:type="pct"/>
            <w:vAlign w:val="center"/>
          </w:tcPr>
          <w:p w14:paraId="08FB4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p>
        </w:tc>
        <w:tc>
          <w:tcPr>
            <w:tcW w:w="1458" w:type="pct"/>
            <w:vAlign w:val="center"/>
          </w:tcPr>
          <w:p w14:paraId="2AEBE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p>
        </w:tc>
      </w:tr>
      <w:tr w14:paraId="26020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9" w:type="pct"/>
            <w:vAlign w:val="center"/>
          </w:tcPr>
          <w:p w14:paraId="033662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r>
              <w:rPr>
                <w:rFonts w:hint="eastAsia" w:cs="Times New Roman" w:asciiTheme="minorEastAsia" w:hAnsiTheme="minorEastAsia" w:eastAsiaTheme="minorEastAsia"/>
                <w:bCs/>
                <w:kern w:val="0"/>
                <w:sz w:val="21"/>
                <w:szCs w:val="21"/>
                <w:highlight w:val="none"/>
              </w:rPr>
              <w:t>2</w:t>
            </w:r>
          </w:p>
        </w:tc>
        <w:tc>
          <w:tcPr>
            <w:tcW w:w="1495" w:type="pct"/>
            <w:vAlign w:val="center"/>
          </w:tcPr>
          <w:p w14:paraId="5863EF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p>
        </w:tc>
        <w:tc>
          <w:tcPr>
            <w:tcW w:w="1696" w:type="pct"/>
            <w:vAlign w:val="center"/>
          </w:tcPr>
          <w:p w14:paraId="0CDA1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p>
        </w:tc>
        <w:tc>
          <w:tcPr>
            <w:tcW w:w="1458" w:type="pct"/>
            <w:vAlign w:val="center"/>
          </w:tcPr>
          <w:p w14:paraId="25220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p>
        </w:tc>
      </w:tr>
      <w:tr w14:paraId="2CD7D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9" w:type="pct"/>
            <w:vAlign w:val="center"/>
          </w:tcPr>
          <w:p w14:paraId="36EECD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r>
              <w:rPr>
                <w:rFonts w:hint="eastAsia" w:cs="Times New Roman" w:asciiTheme="minorEastAsia" w:hAnsiTheme="minorEastAsia" w:eastAsiaTheme="minorEastAsia"/>
                <w:bCs/>
                <w:kern w:val="0"/>
                <w:sz w:val="21"/>
                <w:szCs w:val="21"/>
                <w:highlight w:val="none"/>
              </w:rPr>
              <w:t>3</w:t>
            </w:r>
          </w:p>
        </w:tc>
        <w:tc>
          <w:tcPr>
            <w:tcW w:w="1495" w:type="pct"/>
            <w:vAlign w:val="center"/>
          </w:tcPr>
          <w:p w14:paraId="0245CF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p>
        </w:tc>
        <w:tc>
          <w:tcPr>
            <w:tcW w:w="1696" w:type="pct"/>
            <w:vAlign w:val="center"/>
          </w:tcPr>
          <w:p w14:paraId="4B341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p>
        </w:tc>
        <w:tc>
          <w:tcPr>
            <w:tcW w:w="1458" w:type="pct"/>
            <w:vAlign w:val="center"/>
          </w:tcPr>
          <w:p w14:paraId="28DC7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p>
        </w:tc>
      </w:tr>
      <w:tr w14:paraId="29DE0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9" w:type="pct"/>
            <w:vAlign w:val="center"/>
          </w:tcPr>
          <w:p w14:paraId="6FC851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r>
              <w:rPr>
                <w:rFonts w:hint="eastAsia" w:cs="Times New Roman" w:asciiTheme="minorEastAsia" w:hAnsiTheme="minorEastAsia" w:eastAsiaTheme="minorEastAsia"/>
                <w:bCs/>
                <w:kern w:val="0"/>
                <w:sz w:val="21"/>
                <w:szCs w:val="21"/>
                <w:highlight w:val="none"/>
              </w:rPr>
              <w:t>4</w:t>
            </w:r>
          </w:p>
        </w:tc>
        <w:tc>
          <w:tcPr>
            <w:tcW w:w="1495" w:type="pct"/>
            <w:vAlign w:val="center"/>
          </w:tcPr>
          <w:p w14:paraId="72E28D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p>
        </w:tc>
        <w:tc>
          <w:tcPr>
            <w:tcW w:w="1696" w:type="pct"/>
            <w:vAlign w:val="center"/>
          </w:tcPr>
          <w:p w14:paraId="78555B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p>
        </w:tc>
        <w:tc>
          <w:tcPr>
            <w:tcW w:w="1458" w:type="pct"/>
            <w:vAlign w:val="center"/>
          </w:tcPr>
          <w:p w14:paraId="7DAB26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p>
        </w:tc>
      </w:tr>
      <w:tr w14:paraId="397CA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9" w:type="pct"/>
            <w:vAlign w:val="center"/>
          </w:tcPr>
          <w:p w14:paraId="45E78E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r>
              <w:rPr>
                <w:rFonts w:hint="eastAsia" w:cs="Times New Roman" w:asciiTheme="minorEastAsia" w:hAnsiTheme="minorEastAsia" w:eastAsiaTheme="minorEastAsia"/>
                <w:bCs/>
                <w:kern w:val="0"/>
                <w:sz w:val="21"/>
                <w:szCs w:val="21"/>
                <w:highlight w:val="none"/>
              </w:rPr>
              <w:t>……</w:t>
            </w:r>
          </w:p>
        </w:tc>
        <w:tc>
          <w:tcPr>
            <w:tcW w:w="1495" w:type="pct"/>
            <w:vAlign w:val="center"/>
          </w:tcPr>
          <w:p w14:paraId="5F5E0B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p>
        </w:tc>
        <w:tc>
          <w:tcPr>
            <w:tcW w:w="1696" w:type="pct"/>
            <w:vAlign w:val="center"/>
          </w:tcPr>
          <w:p w14:paraId="35DF2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p>
        </w:tc>
        <w:tc>
          <w:tcPr>
            <w:tcW w:w="1458" w:type="pct"/>
            <w:vAlign w:val="center"/>
          </w:tcPr>
          <w:p w14:paraId="4D365C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cs="Times New Roman" w:asciiTheme="minorEastAsia" w:hAnsiTheme="minorEastAsia" w:eastAsiaTheme="minorEastAsia"/>
                <w:bCs/>
                <w:kern w:val="0"/>
                <w:sz w:val="21"/>
                <w:szCs w:val="21"/>
                <w:highlight w:val="none"/>
              </w:rPr>
            </w:pPr>
          </w:p>
        </w:tc>
      </w:tr>
    </w:tbl>
    <w:p w14:paraId="4982A9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Times New Roman"/>
          <w:bCs/>
          <w:kern w:val="2"/>
          <w:sz w:val="21"/>
          <w:szCs w:val="21"/>
          <w:highlight w:val="none"/>
        </w:rPr>
      </w:pPr>
      <w:r>
        <w:rPr>
          <w:rFonts w:hint="eastAsia" w:ascii="宋体" w:hAnsi="宋体" w:eastAsia="宋体" w:cs="宋体"/>
          <w:bCs/>
          <w:kern w:val="2"/>
          <w:sz w:val="21"/>
          <w:szCs w:val="21"/>
          <w:highlight w:val="none"/>
          <w:lang w:val="en-US" w:eastAsia="zh-CN" w:bidi="ar"/>
        </w:rPr>
        <w:t>（4）响应人对本项目的服务承诺，响应采购文件中对各项服务的具体要求。</w:t>
      </w:r>
    </w:p>
    <w:p w14:paraId="234D5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（5）</w:t>
      </w:r>
      <w:r>
        <w:rPr>
          <w:rFonts w:hint="eastAsia" w:ascii="宋体" w:hAnsi="宋体" w:eastAsia="宋体" w:cs="宋体"/>
          <w:bCs/>
          <w:kern w:val="2"/>
          <w:sz w:val="21"/>
          <w:szCs w:val="21"/>
          <w:highlight w:val="none"/>
          <w:lang w:val="en-US" w:eastAsia="zh-CN" w:bidi="ar"/>
        </w:rPr>
        <w:t>被“信用中国”网站列入失信被执行人和重大税收违法案件当事人名单的、被“中国政府采购网”网站列入政府采购严重违法失信行为记录名单（处罚期限尚未届满的），不得参与本项目的采购活动，响应人须提供没有上述失信行为和重大税收违法案件记录的证明材料，其中证明材料指：供应商在 “中国政府采购网”网站上的查询记录截图、</w:t>
      </w:r>
      <w:r>
        <w:rPr>
          <w:rFonts w:hint="eastAsia" w:ascii="宋体" w:hAnsi="宋体" w:eastAsia="宋体" w:cs="宋体"/>
          <w:kern w:val="2"/>
          <w:sz w:val="21"/>
          <w:szCs w:val="21"/>
          <w:highlight w:val="none"/>
          <w:lang w:val="en-US" w:eastAsia="zh-CN" w:bidi="ar"/>
        </w:rPr>
        <w:t>“信用中国”网站下载的信用信息报告</w:t>
      </w:r>
      <w:r>
        <w:rPr>
          <w:rFonts w:hint="eastAsia" w:ascii="宋体" w:hAnsi="宋体" w:eastAsia="宋体" w:cs="宋体"/>
          <w:bCs/>
          <w:kern w:val="2"/>
          <w:sz w:val="21"/>
          <w:szCs w:val="21"/>
          <w:highlight w:val="none"/>
          <w:lang w:val="en-US" w:eastAsia="zh-CN" w:bidi="ar"/>
        </w:rPr>
        <w:t>，查询截止时点为：本项目响应截止期前5个工作日内的查询记录截图，并加盖单位公章。</w:t>
      </w:r>
    </w:p>
    <w:p w14:paraId="6CD7C4B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szCs w:val="21"/>
          <w:highlight w:val="none"/>
        </w:rPr>
      </w:pPr>
      <w:r>
        <w:rPr>
          <w:rFonts w:hint="eastAsia" w:cs="Times New Roman" w:asciiTheme="minorEastAsia" w:hAnsiTheme="minorEastAsia"/>
          <w:bCs/>
          <w:szCs w:val="21"/>
          <w:highlight w:val="none"/>
        </w:rPr>
        <w:t>（</w:t>
      </w:r>
      <w:r>
        <w:rPr>
          <w:rFonts w:hint="eastAsia" w:cs="Times New Roman" w:asciiTheme="minorEastAsia" w:hAnsiTheme="minorEastAsia"/>
          <w:bCs/>
          <w:szCs w:val="21"/>
          <w:highlight w:val="none"/>
          <w:lang w:val="en-US" w:eastAsia="zh-CN"/>
        </w:rPr>
        <w:t>6</w:t>
      </w:r>
      <w:r>
        <w:rPr>
          <w:rFonts w:hint="eastAsia" w:cs="Times New Roman" w:asciiTheme="minorEastAsia" w:hAnsiTheme="minorEastAsia"/>
          <w:bCs/>
          <w:szCs w:val="21"/>
          <w:highlight w:val="none"/>
        </w:rPr>
        <w:t>）</w:t>
      </w:r>
      <w:r>
        <w:rPr>
          <w:rFonts w:hint="eastAsia" w:hAnsi="宋体"/>
          <w:szCs w:val="21"/>
          <w:highlight w:val="none"/>
        </w:rPr>
        <w:t>响应人提供有依法缴纳税收和社会保障资金的良好记录（近三个月内任意一个月）</w:t>
      </w:r>
      <w:r>
        <w:rPr>
          <w:rFonts w:hint="eastAsia" w:asciiTheme="minorEastAsia" w:hAnsiTheme="minorEastAsia"/>
          <w:szCs w:val="21"/>
          <w:highlight w:val="none"/>
        </w:rPr>
        <w:t>。</w:t>
      </w:r>
    </w:p>
    <w:p w14:paraId="62967AC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szCs w:val="21"/>
          <w:highlight w:val="none"/>
        </w:rPr>
      </w:pPr>
      <w:r>
        <w:rPr>
          <w:rFonts w:hint="eastAsia" w:asciiTheme="minorEastAsia" w:hAnsiTheme="minorEastAsia"/>
          <w:szCs w:val="21"/>
          <w:highlight w:val="none"/>
        </w:rPr>
        <w:t>（</w:t>
      </w:r>
      <w:r>
        <w:rPr>
          <w:rFonts w:hint="eastAsia" w:asciiTheme="minorEastAsia" w:hAnsiTheme="minorEastAsia"/>
          <w:szCs w:val="21"/>
          <w:highlight w:val="none"/>
          <w:lang w:val="en-US" w:eastAsia="zh-CN"/>
        </w:rPr>
        <w:t>7</w:t>
      </w:r>
      <w:r>
        <w:rPr>
          <w:rFonts w:hint="eastAsia" w:asciiTheme="minorEastAsia" w:hAnsiTheme="minorEastAsia"/>
          <w:szCs w:val="21"/>
          <w:highlight w:val="none"/>
        </w:rPr>
        <w:t>）</w:t>
      </w:r>
      <w:r>
        <w:rPr>
          <w:rFonts w:hint="eastAsia" w:asciiTheme="minorEastAsia" w:hAnsiTheme="minorEastAsia"/>
          <w:bCs/>
          <w:szCs w:val="21"/>
          <w:highlight w:val="none"/>
        </w:rPr>
        <w:t>响应人提供</w:t>
      </w:r>
      <w:r>
        <w:rPr>
          <w:rFonts w:hint="eastAsia" w:asciiTheme="minorEastAsia" w:hAnsiTheme="minorEastAsia"/>
          <w:szCs w:val="21"/>
          <w:highlight w:val="none"/>
        </w:rPr>
        <w:t>需出具上一年度审计报告复印件或近半年任意一个月公司的财务报表（资产负债表、利润表、现金流量表），成立不满一年的，提供自成立至今的财务报表或近半年银行出具的资信证明材料。</w:t>
      </w:r>
    </w:p>
    <w:p w14:paraId="569C13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cs="Times New Roman" w:asciiTheme="minorEastAsia" w:hAnsiTheme="minorEastAsia"/>
          <w:bCs/>
          <w:szCs w:val="21"/>
          <w:highlight w:val="none"/>
          <w:lang w:val="en-US" w:eastAsia="zh-CN"/>
        </w:rPr>
      </w:pPr>
      <w:r>
        <w:rPr>
          <w:rFonts w:hint="eastAsia" w:cs="Times New Roman" w:asciiTheme="minorEastAsia" w:hAnsiTheme="minorEastAsia"/>
          <w:bCs/>
          <w:szCs w:val="21"/>
          <w:highlight w:val="none"/>
        </w:rPr>
        <w:t>（</w:t>
      </w:r>
      <w:r>
        <w:rPr>
          <w:rFonts w:hint="eastAsia" w:cs="Times New Roman" w:asciiTheme="minorEastAsia" w:hAnsiTheme="minorEastAsia"/>
          <w:bCs/>
          <w:szCs w:val="21"/>
          <w:highlight w:val="none"/>
          <w:lang w:val="en-US" w:eastAsia="zh-CN"/>
        </w:rPr>
        <w:t>8</w:t>
      </w:r>
      <w:r>
        <w:rPr>
          <w:rFonts w:hint="eastAsia" w:cs="Times New Roman" w:asciiTheme="minorEastAsia" w:hAnsiTheme="minorEastAsia"/>
          <w:bCs/>
          <w:szCs w:val="21"/>
          <w:highlight w:val="none"/>
        </w:rPr>
        <w:t>）</w:t>
      </w:r>
      <w:r>
        <w:rPr>
          <w:rFonts w:hint="eastAsia" w:cs="Times New Roman" w:asciiTheme="minorEastAsia" w:hAnsiTheme="minorEastAsia"/>
          <w:bCs/>
          <w:szCs w:val="21"/>
          <w:highlight w:val="none"/>
          <w:lang w:val="en-US" w:eastAsia="zh-CN"/>
        </w:rPr>
        <w:t>报价部分</w:t>
      </w:r>
      <w:r>
        <w:rPr>
          <w:rFonts w:hint="eastAsia" w:cs="Times New Roman" w:asciiTheme="minorEastAsia" w:hAnsiTheme="minorEastAsia"/>
          <w:bCs/>
          <w:szCs w:val="21"/>
          <w:highlight w:val="none"/>
          <w:lang w:val="en-US" w:eastAsia="zh-CN"/>
        </w:rPr>
        <w:t>（报价应含人工费、材料费、检测费、利润、税金等全部费用）</w:t>
      </w:r>
    </w:p>
    <w:p w14:paraId="244B48C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szCs w:val="21"/>
          <w:highlight w:val="none"/>
          <w:lang w:val="en-US" w:eastAsia="zh-CN"/>
        </w:rPr>
      </w:pPr>
      <w:r>
        <w:rPr>
          <w:rFonts w:hint="eastAsia" w:asciiTheme="minorEastAsia" w:hAnsiTheme="minorEastAsia"/>
          <w:szCs w:val="21"/>
          <w:highlight w:val="none"/>
        </w:rPr>
        <w:t>①报</w:t>
      </w:r>
      <w:r>
        <w:rPr>
          <w:rFonts w:hint="eastAsia" w:asciiTheme="minorEastAsia" w:hAnsiTheme="minorEastAsia"/>
          <w:szCs w:val="21"/>
          <w:highlight w:val="none"/>
          <w:lang w:val="en-US" w:eastAsia="zh-CN"/>
        </w:rPr>
        <w:t>价函</w:t>
      </w:r>
    </w:p>
    <w:p w14:paraId="083516E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②报价单（见附件）</w:t>
      </w:r>
    </w:p>
    <w:p w14:paraId="62665C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left"/>
        <w:textAlignment w:val="auto"/>
        <w:rPr>
          <w:rFonts w:hint="eastAsia" w:ascii="宋体" w:hAnsi="宋体" w:eastAsia="宋体" w:cs="Times New Roman"/>
          <w:bCs/>
          <w:kern w:val="2"/>
          <w:sz w:val="21"/>
          <w:szCs w:val="21"/>
          <w:highlight w:val="none"/>
        </w:rPr>
      </w:pPr>
      <w:r>
        <w:rPr>
          <w:rFonts w:hint="eastAsia" w:ascii="宋体" w:hAnsi="宋体" w:eastAsia="宋体" w:cs="宋体"/>
          <w:bCs/>
          <w:kern w:val="2"/>
          <w:sz w:val="21"/>
          <w:szCs w:val="21"/>
          <w:highlight w:val="none"/>
          <w:lang w:val="en-US" w:eastAsia="zh-CN" w:bidi="ar"/>
        </w:rPr>
        <w:t>（9）</w:t>
      </w:r>
      <w:r>
        <w:rPr>
          <w:rFonts w:hint="eastAsia" w:cs="Times New Roman" w:asciiTheme="minorEastAsia" w:hAnsiTheme="minorEastAsia"/>
          <w:bCs/>
          <w:szCs w:val="21"/>
          <w:highlight w:val="none"/>
        </w:rPr>
        <w:t>提供北京市住房和城乡建设委员会许可的见证取样检测机构资质。</w:t>
      </w:r>
    </w:p>
    <w:p w14:paraId="48967170">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b/>
          <w:bCs/>
          <w:szCs w:val="21"/>
          <w:highlight w:val="none"/>
        </w:rPr>
      </w:pPr>
      <w:r>
        <w:rPr>
          <w:rFonts w:hint="eastAsia" w:asciiTheme="minorEastAsia" w:hAnsiTheme="minorEastAsia"/>
          <w:b/>
          <w:bCs/>
          <w:szCs w:val="21"/>
          <w:highlight w:val="none"/>
        </w:rPr>
        <w:t>响应文件份数</w:t>
      </w:r>
      <w:r>
        <w:rPr>
          <w:rFonts w:hint="eastAsia" w:asciiTheme="minorEastAsia" w:hAnsiTheme="minorEastAsia"/>
          <w:b/>
          <w:bCs/>
          <w:szCs w:val="21"/>
          <w:highlight w:val="none"/>
          <w:lang w:eastAsia="zh-CN"/>
        </w:rPr>
        <w:t>、</w:t>
      </w:r>
      <w:r>
        <w:rPr>
          <w:rFonts w:hint="eastAsia" w:asciiTheme="minorEastAsia" w:hAnsiTheme="minorEastAsia"/>
          <w:b/>
          <w:bCs/>
          <w:szCs w:val="21"/>
          <w:highlight w:val="none"/>
          <w:lang w:val="en-US" w:eastAsia="zh-CN"/>
        </w:rPr>
        <w:t>装订</w:t>
      </w:r>
      <w:r>
        <w:rPr>
          <w:rFonts w:hint="eastAsia" w:asciiTheme="minorEastAsia" w:hAnsiTheme="minorEastAsia"/>
          <w:b/>
          <w:bCs/>
          <w:szCs w:val="21"/>
          <w:highlight w:val="none"/>
        </w:rPr>
        <w:t>要求</w:t>
      </w:r>
    </w:p>
    <w:p w14:paraId="1274554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eastAsiaTheme="minorEastAsia"/>
          <w:bCs/>
          <w:szCs w:val="21"/>
          <w:highlight w:val="none"/>
          <w:lang w:eastAsia="zh-CN"/>
        </w:rPr>
      </w:pPr>
      <w:r>
        <w:rPr>
          <w:rFonts w:hint="eastAsia" w:asciiTheme="minorEastAsia" w:hAnsiTheme="minorEastAsia"/>
          <w:szCs w:val="21"/>
          <w:highlight w:val="none"/>
          <w:lang w:eastAsia="zh-CN"/>
        </w:rPr>
        <w:t>（</w:t>
      </w:r>
      <w:r>
        <w:rPr>
          <w:rFonts w:hint="eastAsia" w:asciiTheme="minorEastAsia" w:hAnsiTheme="minorEastAsia"/>
          <w:szCs w:val="21"/>
          <w:highlight w:val="none"/>
          <w:lang w:val="en-US" w:eastAsia="zh-CN"/>
        </w:rPr>
        <w:t>1</w:t>
      </w:r>
      <w:r>
        <w:rPr>
          <w:rFonts w:hint="eastAsia" w:asciiTheme="minorEastAsia" w:hAnsiTheme="minorEastAsia"/>
          <w:szCs w:val="21"/>
          <w:highlight w:val="none"/>
          <w:lang w:eastAsia="zh-CN"/>
        </w:rPr>
        <w:t>）纸质</w:t>
      </w:r>
      <w:r>
        <w:rPr>
          <w:rFonts w:hint="eastAsia" w:asciiTheme="minorEastAsia" w:hAnsiTheme="minorEastAsia"/>
          <w:szCs w:val="21"/>
          <w:highlight w:val="none"/>
          <w:lang w:val="en-US" w:eastAsia="zh-CN"/>
        </w:rPr>
        <w:t>版响应</w:t>
      </w:r>
      <w:r>
        <w:rPr>
          <w:rFonts w:hint="eastAsia" w:asciiTheme="minorEastAsia" w:hAnsiTheme="minorEastAsia"/>
          <w:szCs w:val="21"/>
          <w:highlight w:val="none"/>
          <w:lang w:eastAsia="zh-CN"/>
        </w:rPr>
        <w:t>文件：①正本（</w:t>
      </w:r>
      <w:r>
        <w:rPr>
          <w:rFonts w:hint="eastAsia" w:asciiTheme="minorEastAsia" w:hAnsiTheme="minorEastAsia"/>
          <w:szCs w:val="21"/>
          <w:highlight w:val="none"/>
          <w:lang w:val="en-US" w:eastAsia="zh-CN"/>
        </w:rPr>
        <w:t>盖章原件</w:t>
      </w:r>
      <w:r>
        <w:rPr>
          <w:rFonts w:hint="eastAsia" w:asciiTheme="minorEastAsia" w:hAnsiTheme="minorEastAsia"/>
          <w:szCs w:val="21"/>
          <w:highlight w:val="none"/>
          <w:lang w:eastAsia="zh-CN"/>
        </w:rPr>
        <w:t>）1份；②副本（正本复印件）4份。（</w:t>
      </w:r>
      <w:r>
        <w:rPr>
          <w:rFonts w:hint="eastAsia" w:asciiTheme="minorEastAsia" w:hAnsiTheme="minorEastAsia"/>
          <w:szCs w:val="21"/>
          <w:highlight w:val="none"/>
          <w:lang w:val="en-US" w:eastAsia="zh-CN"/>
        </w:rPr>
        <w:t>请将</w:t>
      </w:r>
      <w:r>
        <w:rPr>
          <w:rFonts w:hint="eastAsia" w:cs="Times New Roman" w:asciiTheme="minorEastAsia" w:hAnsiTheme="minorEastAsia"/>
          <w:bCs/>
          <w:szCs w:val="21"/>
          <w:highlight w:val="none"/>
        </w:rPr>
        <w:t>响应文件的正本与副本</w:t>
      </w:r>
      <w:r>
        <w:rPr>
          <w:rFonts w:hint="eastAsia" w:cs="Times New Roman" w:asciiTheme="minorEastAsia" w:hAnsiTheme="minorEastAsia"/>
          <w:bCs/>
          <w:szCs w:val="21"/>
          <w:highlight w:val="none"/>
          <w:lang w:val="en-US" w:eastAsia="zh-CN"/>
        </w:rPr>
        <w:t>分别封装</w:t>
      </w:r>
      <w:r>
        <w:rPr>
          <w:rFonts w:hint="eastAsia" w:cs="Times New Roman" w:asciiTheme="minorEastAsia" w:hAnsiTheme="minorEastAsia"/>
          <w:bCs/>
          <w:szCs w:val="21"/>
          <w:highlight w:val="none"/>
        </w:rPr>
        <w:t>，</w:t>
      </w:r>
      <w:r>
        <w:rPr>
          <w:rFonts w:hint="eastAsia" w:cs="Times New Roman" w:asciiTheme="minorEastAsia" w:hAnsiTheme="minorEastAsia"/>
          <w:bCs/>
          <w:szCs w:val="21"/>
          <w:highlight w:val="none"/>
          <w:lang w:val="en-US" w:eastAsia="zh-CN"/>
        </w:rPr>
        <w:t>并</w:t>
      </w:r>
      <w:r>
        <w:rPr>
          <w:rFonts w:hint="eastAsia" w:cs="Times New Roman" w:asciiTheme="minorEastAsia" w:hAnsiTheme="minorEastAsia"/>
          <w:bCs/>
          <w:szCs w:val="21"/>
          <w:highlight w:val="none"/>
        </w:rPr>
        <w:t>加贴封条</w:t>
      </w:r>
      <w:r>
        <w:rPr>
          <w:rFonts w:hint="eastAsia" w:cs="Times New Roman" w:asciiTheme="minorEastAsia" w:hAnsiTheme="minorEastAsia"/>
          <w:bCs/>
          <w:szCs w:val="21"/>
          <w:highlight w:val="none"/>
          <w:lang w:eastAsia="zh-CN"/>
        </w:rPr>
        <w:t>。</w:t>
      </w:r>
      <w:r>
        <w:rPr>
          <w:rFonts w:hint="eastAsia" w:cs="Times New Roman" w:asciiTheme="minorEastAsia" w:hAnsiTheme="minorEastAsia"/>
          <w:bCs/>
          <w:szCs w:val="21"/>
          <w:highlight w:val="none"/>
        </w:rPr>
        <w:t>响应文件封面分别注明</w:t>
      </w:r>
      <w:r>
        <w:rPr>
          <w:rFonts w:hint="eastAsia" w:cs="Times New Roman" w:asciiTheme="minorEastAsia" w:hAnsiTheme="minorEastAsia"/>
          <w:bCs/>
          <w:szCs w:val="21"/>
          <w:highlight w:val="none"/>
          <w:lang w:eastAsia="zh-CN"/>
        </w:rPr>
        <w:t>“</w:t>
      </w:r>
      <w:r>
        <w:rPr>
          <w:rFonts w:hint="eastAsia" w:cs="Times New Roman" w:asciiTheme="minorEastAsia" w:hAnsiTheme="minorEastAsia"/>
          <w:bCs/>
          <w:szCs w:val="21"/>
          <w:highlight w:val="none"/>
        </w:rPr>
        <w:t>正本</w:t>
      </w:r>
      <w:r>
        <w:rPr>
          <w:rFonts w:hint="eastAsia" w:cs="Times New Roman" w:asciiTheme="minorEastAsia" w:hAnsiTheme="minorEastAsia"/>
          <w:bCs/>
          <w:szCs w:val="21"/>
          <w:highlight w:val="none"/>
          <w:lang w:eastAsia="zh-CN"/>
        </w:rPr>
        <w:t>”</w:t>
      </w:r>
      <w:r>
        <w:rPr>
          <w:rFonts w:hint="eastAsia" w:cs="Times New Roman" w:asciiTheme="minorEastAsia" w:hAnsiTheme="minorEastAsia"/>
          <w:bCs/>
          <w:szCs w:val="21"/>
          <w:highlight w:val="none"/>
          <w:lang w:val="en-US" w:eastAsia="zh-CN"/>
        </w:rPr>
        <w:t>或“</w:t>
      </w:r>
      <w:r>
        <w:rPr>
          <w:rFonts w:hint="eastAsia" w:cs="Times New Roman" w:asciiTheme="minorEastAsia" w:hAnsiTheme="minorEastAsia"/>
          <w:bCs/>
          <w:szCs w:val="21"/>
          <w:highlight w:val="none"/>
        </w:rPr>
        <w:t>副本</w:t>
      </w:r>
      <w:r>
        <w:rPr>
          <w:rFonts w:hint="eastAsia" w:cs="Times New Roman" w:asciiTheme="minorEastAsia" w:hAnsiTheme="minorEastAsia"/>
          <w:bCs/>
          <w:szCs w:val="21"/>
          <w:highlight w:val="none"/>
          <w:lang w:eastAsia="zh-CN"/>
        </w:rPr>
        <w:t>”</w:t>
      </w:r>
      <w:r>
        <w:rPr>
          <w:rFonts w:hint="eastAsia" w:cs="Times New Roman" w:asciiTheme="minorEastAsia" w:hAnsiTheme="minorEastAsia"/>
          <w:bCs/>
          <w:szCs w:val="21"/>
          <w:highlight w:val="none"/>
        </w:rPr>
        <w:t>，</w:t>
      </w:r>
      <w:r>
        <w:rPr>
          <w:rFonts w:hint="eastAsia" w:cs="Times New Roman" w:asciiTheme="minorEastAsia" w:hAnsiTheme="minorEastAsia"/>
          <w:bCs/>
          <w:szCs w:val="21"/>
          <w:highlight w:val="none"/>
          <w:lang w:val="en-US" w:eastAsia="zh-CN"/>
        </w:rPr>
        <w:t>并详细</w:t>
      </w:r>
      <w:r>
        <w:rPr>
          <w:rFonts w:hint="eastAsia" w:cs="Times New Roman" w:asciiTheme="minorEastAsia" w:hAnsiTheme="minorEastAsia"/>
          <w:bCs/>
          <w:szCs w:val="21"/>
          <w:highlight w:val="none"/>
        </w:rPr>
        <w:t>列明项目名称</w:t>
      </w:r>
      <w:r>
        <w:rPr>
          <w:rFonts w:hint="eastAsia" w:cs="Times New Roman" w:asciiTheme="minorEastAsia" w:hAnsiTheme="minorEastAsia"/>
          <w:bCs/>
          <w:szCs w:val="21"/>
          <w:highlight w:val="none"/>
          <w:lang w:val="en-US" w:eastAsia="zh-CN"/>
        </w:rPr>
        <w:t>及响应</w:t>
      </w:r>
      <w:r>
        <w:rPr>
          <w:rFonts w:hint="eastAsia" w:cs="Times New Roman" w:asciiTheme="minorEastAsia" w:hAnsiTheme="minorEastAsia"/>
          <w:bCs/>
          <w:szCs w:val="21"/>
          <w:highlight w:val="none"/>
        </w:rPr>
        <w:t>人名称</w:t>
      </w:r>
      <w:r>
        <w:rPr>
          <w:rFonts w:hint="eastAsia" w:cs="Times New Roman" w:asciiTheme="minorEastAsia" w:hAnsiTheme="minorEastAsia"/>
          <w:bCs/>
          <w:szCs w:val="21"/>
          <w:highlight w:val="none"/>
          <w:lang w:eastAsia="zh-CN"/>
        </w:rPr>
        <w:t>。</w:t>
      </w:r>
      <w:r>
        <w:rPr>
          <w:rFonts w:hint="eastAsia" w:cs="Times New Roman" w:asciiTheme="minorEastAsia" w:hAnsiTheme="minorEastAsia"/>
          <w:bCs/>
          <w:szCs w:val="21"/>
          <w:highlight w:val="none"/>
          <w:lang w:val="en-US" w:eastAsia="zh-CN"/>
        </w:rPr>
        <w:t>同时，</w:t>
      </w:r>
      <w:r>
        <w:rPr>
          <w:rFonts w:hint="eastAsia" w:cs="Times New Roman" w:asciiTheme="minorEastAsia" w:hAnsiTheme="minorEastAsia"/>
          <w:bCs/>
          <w:szCs w:val="21"/>
          <w:highlight w:val="none"/>
        </w:rPr>
        <w:t>在封套的封口处加盖响应</w:t>
      </w:r>
      <w:r>
        <w:rPr>
          <w:rFonts w:hint="eastAsia" w:cs="Times New Roman" w:asciiTheme="minorEastAsia" w:hAnsiTheme="minorEastAsia"/>
          <w:bCs/>
          <w:szCs w:val="21"/>
          <w:highlight w:val="none"/>
          <w:lang w:val="en-US" w:eastAsia="zh-CN"/>
        </w:rPr>
        <w:t>人</w:t>
      </w:r>
      <w:r>
        <w:rPr>
          <w:rFonts w:hint="eastAsia" w:cs="Times New Roman" w:asciiTheme="minorEastAsia" w:hAnsiTheme="minorEastAsia"/>
          <w:bCs/>
          <w:szCs w:val="21"/>
          <w:highlight w:val="none"/>
        </w:rPr>
        <w:t>单位</w:t>
      </w:r>
      <w:r>
        <w:rPr>
          <w:rFonts w:hint="eastAsia" w:cs="Times New Roman" w:asciiTheme="minorEastAsia" w:hAnsiTheme="minorEastAsia"/>
          <w:bCs/>
          <w:szCs w:val="21"/>
          <w:highlight w:val="none"/>
          <w:lang w:val="en-US" w:eastAsia="zh-CN"/>
        </w:rPr>
        <w:t>的</w:t>
      </w:r>
      <w:r>
        <w:rPr>
          <w:rFonts w:hint="eastAsia" w:cs="Times New Roman" w:asciiTheme="minorEastAsia" w:hAnsiTheme="minorEastAsia"/>
          <w:bCs/>
          <w:szCs w:val="21"/>
          <w:highlight w:val="none"/>
        </w:rPr>
        <w:t>公章。</w:t>
      </w:r>
      <w:r>
        <w:rPr>
          <w:rFonts w:hint="eastAsia" w:cs="Times New Roman" w:asciiTheme="minorEastAsia" w:hAnsiTheme="minorEastAsia"/>
          <w:bCs/>
          <w:szCs w:val="21"/>
          <w:highlight w:val="none"/>
          <w:lang w:eastAsia="zh-CN"/>
        </w:rPr>
        <w:t>）</w:t>
      </w:r>
    </w:p>
    <w:p w14:paraId="13F7A68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lang w:eastAsia="zh-CN"/>
        </w:rPr>
        <w:t>（</w:t>
      </w:r>
      <w:r>
        <w:rPr>
          <w:rFonts w:hint="eastAsia" w:cs="Times New Roman" w:asciiTheme="minorEastAsia" w:hAnsiTheme="minorEastAsia"/>
          <w:bCs/>
          <w:szCs w:val="21"/>
          <w:highlight w:val="none"/>
          <w:lang w:val="en-US" w:eastAsia="zh-CN"/>
        </w:rPr>
        <w:t>2</w:t>
      </w:r>
      <w:r>
        <w:rPr>
          <w:rFonts w:hint="eastAsia" w:cs="Times New Roman" w:asciiTheme="minorEastAsia" w:hAnsiTheme="minorEastAsia"/>
          <w:bCs/>
          <w:szCs w:val="21"/>
          <w:highlight w:val="none"/>
          <w:lang w:eastAsia="zh-CN"/>
        </w:rPr>
        <w:t>）</w:t>
      </w:r>
      <w:r>
        <w:rPr>
          <w:rFonts w:hint="eastAsia" w:cs="Times New Roman" w:asciiTheme="minorEastAsia" w:hAnsiTheme="minorEastAsia"/>
          <w:bCs/>
          <w:szCs w:val="21"/>
          <w:highlight w:val="none"/>
        </w:rPr>
        <w:t>电子版响应文件</w:t>
      </w:r>
      <w:r>
        <w:rPr>
          <w:rFonts w:hint="eastAsia" w:cs="Times New Roman" w:asciiTheme="minorEastAsia" w:hAnsiTheme="minorEastAsia"/>
          <w:bCs/>
          <w:szCs w:val="21"/>
          <w:highlight w:val="none"/>
          <w:lang w:eastAsia="zh-CN"/>
        </w:rPr>
        <w:t>：</w:t>
      </w:r>
      <w:r>
        <w:rPr>
          <w:rFonts w:hint="eastAsia" w:cs="Times New Roman" w:asciiTheme="minorEastAsia" w:hAnsiTheme="minorEastAsia"/>
          <w:bCs/>
          <w:szCs w:val="21"/>
          <w:highlight w:val="none"/>
          <w:lang w:val="en-US" w:eastAsia="zh-CN"/>
        </w:rPr>
        <w:t>1</w:t>
      </w:r>
      <w:r>
        <w:rPr>
          <w:rFonts w:hint="eastAsia" w:cs="Times New Roman" w:asciiTheme="minorEastAsia" w:hAnsiTheme="minorEastAsia"/>
          <w:bCs/>
          <w:szCs w:val="21"/>
          <w:highlight w:val="none"/>
        </w:rPr>
        <w:t>份（盖章扫描版），以U盘的形式</w:t>
      </w:r>
      <w:r>
        <w:rPr>
          <w:rFonts w:hint="eastAsia" w:cs="Times New Roman" w:asciiTheme="minorEastAsia" w:hAnsiTheme="minorEastAsia"/>
          <w:bCs/>
          <w:szCs w:val="21"/>
          <w:highlight w:val="none"/>
          <w:lang w:val="en-US" w:eastAsia="zh-CN"/>
        </w:rPr>
        <w:t>单独封装</w:t>
      </w:r>
      <w:r>
        <w:rPr>
          <w:rFonts w:hint="eastAsia" w:cs="Times New Roman" w:asciiTheme="minorEastAsia" w:hAnsiTheme="minorEastAsia"/>
          <w:bCs/>
          <w:szCs w:val="21"/>
          <w:highlight w:val="none"/>
        </w:rPr>
        <w:t>。</w:t>
      </w:r>
    </w:p>
    <w:p w14:paraId="7DC8B94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bCs/>
          <w:szCs w:val="21"/>
          <w:highlight w:val="none"/>
        </w:rPr>
      </w:pPr>
      <w:r>
        <w:rPr>
          <w:rFonts w:hint="eastAsia" w:cs="Times New Roman" w:asciiTheme="minorEastAsia" w:hAnsiTheme="minorEastAsia"/>
          <w:b/>
          <w:bCs w:val="0"/>
          <w:color w:val="FF0000"/>
          <w:szCs w:val="21"/>
          <w:highlight w:val="none"/>
          <w:lang w:eastAsia="zh-CN"/>
        </w:rPr>
        <w:t>（</w:t>
      </w:r>
      <w:r>
        <w:rPr>
          <w:rFonts w:hint="eastAsia" w:cs="Times New Roman" w:asciiTheme="minorEastAsia" w:hAnsiTheme="minorEastAsia"/>
          <w:b/>
          <w:bCs w:val="0"/>
          <w:color w:val="FF0000"/>
          <w:szCs w:val="21"/>
          <w:highlight w:val="none"/>
          <w:lang w:val="en-US" w:eastAsia="zh-CN"/>
        </w:rPr>
        <w:t>3</w:t>
      </w:r>
      <w:r>
        <w:rPr>
          <w:rFonts w:hint="eastAsia" w:cs="Times New Roman" w:asciiTheme="minorEastAsia" w:hAnsiTheme="minorEastAsia"/>
          <w:b/>
          <w:bCs w:val="0"/>
          <w:color w:val="FF0000"/>
          <w:szCs w:val="21"/>
          <w:highlight w:val="none"/>
          <w:lang w:eastAsia="zh-CN"/>
        </w:rPr>
        <w:t>）</w:t>
      </w:r>
      <w:r>
        <w:rPr>
          <w:rFonts w:hint="eastAsia" w:cs="Times New Roman" w:asciiTheme="minorEastAsia" w:hAnsiTheme="minorEastAsia"/>
          <w:b/>
          <w:bCs w:val="0"/>
          <w:color w:val="FF0000"/>
          <w:szCs w:val="21"/>
          <w:highlight w:val="none"/>
        </w:rPr>
        <w:t>响应</w:t>
      </w:r>
      <w:r>
        <w:rPr>
          <w:rFonts w:hint="eastAsia" w:asciiTheme="minorEastAsia" w:hAnsiTheme="minorEastAsia"/>
          <w:b/>
          <w:bCs w:val="0"/>
          <w:color w:val="FF0000"/>
          <w:szCs w:val="21"/>
          <w:highlight w:val="none"/>
        </w:rPr>
        <w:t>人于响应文件目录前添加评分项目页码索引（参考评审办法内评分标准）。</w:t>
      </w:r>
    </w:p>
    <w:p w14:paraId="016A863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cs="Times New Roman" w:asciiTheme="minorEastAsia" w:hAnsiTheme="minorEastAsia"/>
          <w:b/>
          <w:bCs w:val="0"/>
          <w:szCs w:val="21"/>
          <w:highlight w:val="none"/>
        </w:rPr>
      </w:pPr>
      <w:r>
        <w:rPr>
          <w:rFonts w:hint="eastAsia" w:cs="Times New Roman" w:asciiTheme="minorEastAsia" w:hAnsiTheme="minorEastAsia"/>
          <w:b/>
          <w:bCs w:val="0"/>
          <w:szCs w:val="21"/>
          <w:highlight w:val="none"/>
        </w:rPr>
        <w:t>下列情况之一者，响应文件（即响应）视为无效：</w:t>
      </w:r>
    </w:p>
    <w:p w14:paraId="6EAB36C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bCs/>
          <w:szCs w:val="21"/>
          <w:highlight w:val="none"/>
        </w:rPr>
      </w:pPr>
      <w:r>
        <w:rPr>
          <w:rFonts w:hint="eastAsia" w:asciiTheme="minorEastAsia" w:hAnsiTheme="minorEastAsia"/>
          <w:bCs/>
          <w:szCs w:val="21"/>
          <w:highlight w:val="none"/>
        </w:rPr>
        <w:t>（1）响应价高于控制价</w:t>
      </w:r>
    </w:p>
    <w:p w14:paraId="396171D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（2）响应文件未密封或逾期送达。</w:t>
      </w:r>
    </w:p>
    <w:p w14:paraId="6A59531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（3）响应文件未按规定加盖本单位公章。</w:t>
      </w:r>
    </w:p>
    <w:p w14:paraId="7FD5A19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b w:val="0"/>
          <w:bCs/>
          <w:szCs w:val="21"/>
          <w:highlight w:val="none"/>
        </w:rPr>
      </w:pPr>
      <w:r>
        <w:rPr>
          <w:rFonts w:hint="eastAsia" w:cs="Times New Roman" w:asciiTheme="minorEastAsia" w:hAnsiTheme="minorEastAsia"/>
          <w:b w:val="0"/>
          <w:bCs/>
          <w:szCs w:val="21"/>
          <w:highlight w:val="none"/>
        </w:rPr>
        <w:t>（4）法人代表未在法定代表人证明书上签字（或盖人名章）；法人代表、受委托人未在授权委托书上签字（或盖人名章）。</w:t>
      </w:r>
    </w:p>
    <w:p w14:paraId="41A466C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（5）对采购文件的相关要求无具体的承诺。</w:t>
      </w:r>
    </w:p>
    <w:p w14:paraId="5B07F38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（6）未按采购文件要求制作响应文件。</w:t>
      </w:r>
    </w:p>
    <w:p w14:paraId="5B1658F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（7）响应文件字迹模糊或内容自相矛盾。</w:t>
      </w:r>
    </w:p>
    <w:p w14:paraId="64C861B5">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highlight w:val="none"/>
        </w:rPr>
      </w:pPr>
      <w:r>
        <w:rPr>
          <w:rFonts w:hint="eastAsia"/>
          <w:highlight w:val="none"/>
          <w:lang w:val="en-US" w:eastAsia="zh-CN"/>
        </w:rPr>
        <w:t>四</w:t>
      </w:r>
      <w:r>
        <w:rPr>
          <w:rFonts w:hint="eastAsia"/>
          <w:highlight w:val="none"/>
        </w:rPr>
        <w:t>、评审办法</w:t>
      </w:r>
    </w:p>
    <w:p w14:paraId="76594A2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bCs/>
          <w:szCs w:val="21"/>
          <w:highlight w:val="none"/>
        </w:rPr>
      </w:pPr>
      <w:r>
        <w:rPr>
          <w:rFonts w:cs="Times New Roman" w:asciiTheme="minorEastAsia" w:hAnsiTheme="minorEastAsia"/>
          <w:bCs/>
          <w:szCs w:val="21"/>
          <w:highlight w:val="none"/>
        </w:rPr>
        <w:t>1</w:t>
      </w:r>
      <w:r>
        <w:rPr>
          <w:rFonts w:hint="eastAsia" w:cs="Times New Roman" w:asciiTheme="minorEastAsia" w:hAnsiTheme="minorEastAsia"/>
          <w:bCs/>
          <w:szCs w:val="21"/>
          <w:highlight w:val="none"/>
          <w:lang w:eastAsia="zh-CN"/>
        </w:rPr>
        <w:t>.评审委员会组成：</w:t>
      </w:r>
      <w:r>
        <w:rPr>
          <w:rFonts w:hint="eastAsia" w:cs="Times New Roman" w:asciiTheme="minorEastAsia" w:hAnsiTheme="minorEastAsia"/>
          <w:bCs/>
          <w:szCs w:val="21"/>
          <w:highlight w:val="none"/>
        </w:rPr>
        <w:t>本项目评审委员会由院内科室随机抽取的</w:t>
      </w:r>
      <w:r>
        <w:rPr>
          <w:rFonts w:hint="eastAsia" w:cs="Times New Roman" w:asciiTheme="minorEastAsia" w:hAnsiTheme="minorEastAsia"/>
          <w:bCs/>
          <w:szCs w:val="21"/>
          <w:highlight w:val="none"/>
          <w:lang w:val="en-US" w:eastAsia="zh-CN"/>
        </w:rPr>
        <w:t>5名</w:t>
      </w:r>
      <w:r>
        <w:rPr>
          <w:rFonts w:hint="eastAsia" w:cs="Times New Roman" w:asciiTheme="minorEastAsia" w:hAnsiTheme="minorEastAsia"/>
          <w:bCs/>
          <w:szCs w:val="21"/>
          <w:highlight w:val="none"/>
        </w:rPr>
        <w:t>专家组成。</w:t>
      </w:r>
    </w:p>
    <w:p w14:paraId="5A7E752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2</w:t>
      </w:r>
      <w:r>
        <w:rPr>
          <w:rFonts w:hint="eastAsia" w:cs="Times New Roman" w:asciiTheme="minorEastAsia" w:hAnsiTheme="minorEastAsia"/>
          <w:bCs/>
          <w:szCs w:val="21"/>
          <w:highlight w:val="none"/>
          <w:lang w:eastAsia="zh-CN"/>
        </w:rPr>
        <w:t>.</w:t>
      </w:r>
      <w:r>
        <w:rPr>
          <w:rFonts w:hint="eastAsia" w:cs="Times New Roman" w:asciiTheme="minorEastAsia" w:hAnsiTheme="minorEastAsia"/>
          <w:bCs/>
          <w:szCs w:val="21"/>
          <w:highlight w:val="none"/>
        </w:rPr>
        <w:t>采购评审办法</w:t>
      </w:r>
      <w:r>
        <w:rPr>
          <w:rFonts w:hint="eastAsia" w:cs="Times New Roman" w:asciiTheme="minorEastAsia" w:hAnsiTheme="minorEastAsia"/>
          <w:bCs/>
          <w:szCs w:val="21"/>
          <w:highlight w:val="none"/>
          <w:lang w:val="en-US" w:eastAsia="zh-CN"/>
        </w:rPr>
        <w:t>：评审委员会</w:t>
      </w:r>
      <w:r>
        <w:rPr>
          <w:rFonts w:hint="eastAsia" w:cs="Times New Roman" w:asciiTheme="minorEastAsia" w:hAnsiTheme="minorEastAsia"/>
          <w:bCs/>
          <w:szCs w:val="21"/>
          <w:highlight w:val="none"/>
        </w:rPr>
        <w:t>将按照采购文件的有关</w:t>
      </w:r>
      <w:r>
        <w:rPr>
          <w:rFonts w:hint="eastAsia" w:cs="Times New Roman" w:asciiTheme="minorEastAsia" w:hAnsiTheme="minorEastAsia"/>
          <w:bCs/>
          <w:szCs w:val="21"/>
          <w:highlight w:val="none"/>
          <w:lang w:val="en-US" w:eastAsia="zh-CN"/>
        </w:rPr>
        <w:t>要求</w:t>
      </w:r>
      <w:r>
        <w:rPr>
          <w:rFonts w:hint="eastAsia" w:cs="Times New Roman" w:asciiTheme="minorEastAsia" w:hAnsiTheme="minorEastAsia"/>
          <w:bCs/>
          <w:szCs w:val="21"/>
          <w:highlight w:val="none"/>
        </w:rPr>
        <w:t>和有关法律法规的规定，本着公平、公正、科学、择优的原则，采用综合评分法对</w:t>
      </w:r>
      <w:r>
        <w:rPr>
          <w:rFonts w:hint="eastAsia" w:cs="Times New Roman" w:asciiTheme="minorEastAsia" w:hAnsiTheme="minorEastAsia"/>
          <w:bCs/>
          <w:szCs w:val="21"/>
          <w:highlight w:val="none"/>
          <w:lang w:val="en-US" w:eastAsia="zh-CN"/>
        </w:rPr>
        <w:t>初步</w:t>
      </w:r>
      <w:r>
        <w:rPr>
          <w:rFonts w:hint="eastAsia" w:cs="Times New Roman" w:asciiTheme="minorEastAsia" w:hAnsiTheme="minorEastAsia"/>
          <w:bCs/>
          <w:szCs w:val="21"/>
          <w:highlight w:val="none"/>
        </w:rPr>
        <w:t>审查合格的响应人的</w:t>
      </w:r>
      <w:r>
        <w:rPr>
          <w:rFonts w:hint="eastAsia" w:cs="Times New Roman" w:asciiTheme="minorEastAsia" w:hAnsiTheme="minorEastAsia"/>
          <w:bCs/>
          <w:szCs w:val="21"/>
          <w:highlight w:val="none"/>
          <w:lang w:val="en-US" w:eastAsia="zh-CN"/>
        </w:rPr>
        <w:t>响应</w:t>
      </w:r>
      <w:r>
        <w:rPr>
          <w:rFonts w:hint="eastAsia" w:cs="Times New Roman" w:asciiTheme="minorEastAsia" w:hAnsiTheme="minorEastAsia"/>
          <w:bCs/>
          <w:szCs w:val="21"/>
          <w:highlight w:val="none"/>
        </w:rPr>
        <w:t>文件进行综合评分，具体评分</w:t>
      </w:r>
      <w:r>
        <w:rPr>
          <w:rFonts w:hint="eastAsia" w:cs="Times New Roman" w:asciiTheme="minorEastAsia" w:hAnsiTheme="minorEastAsia"/>
          <w:bCs/>
          <w:szCs w:val="21"/>
          <w:highlight w:val="none"/>
          <w:lang w:val="en-US" w:eastAsia="zh-CN"/>
        </w:rPr>
        <w:t>标准</w:t>
      </w:r>
      <w:r>
        <w:rPr>
          <w:rFonts w:hint="eastAsia" w:cs="Times New Roman" w:asciiTheme="minorEastAsia" w:hAnsiTheme="minorEastAsia"/>
          <w:bCs/>
          <w:szCs w:val="21"/>
          <w:highlight w:val="none"/>
        </w:rPr>
        <w:t>详见</w:t>
      </w:r>
      <w:r>
        <w:rPr>
          <w:rFonts w:hint="eastAsia" w:cs="Times New Roman" w:asciiTheme="minorEastAsia" w:hAnsiTheme="minorEastAsia"/>
          <w:bCs/>
          <w:szCs w:val="21"/>
          <w:highlight w:val="none"/>
          <w:lang w:val="en-US" w:eastAsia="zh-CN"/>
        </w:rPr>
        <w:t>下</w:t>
      </w:r>
      <w:r>
        <w:rPr>
          <w:rFonts w:hint="eastAsia" w:cs="Times New Roman" w:asciiTheme="minorEastAsia" w:hAnsiTheme="minorEastAsia"/>
          <w:bCs/>
          <w:szCs w:val="21"/>
          <w:highlight w:val="none"/>
        </w:rPr>
        <w:t>表。</w:t>
      </w:r>
      <w:r>
        <w:rPr>
          <w:rFonts w:hint="eastAsia" w:cs="Times New Roman" w:asciiTheme="minorEastAsia" w:hAnsiTheme="minorEastAsia"/>
          <w:bCs/>
          <w:szCs w:val="21"/>
          <w:highlight w:val="none"/>
          <w:lang w:val="en-US" w:eastAsia="zh-CN"/>
        </w:rPr>
        <w:t>每位评审专家</w:t>
      </w:r>
      <w:r>
        <w:rPr>
          <w:rFonts w:hint="eastAsia" w:cs="Times New Roman" w:asciiTheme="minorEastAsia" w:hAnsiTheme="minorEastAsia"/>
          <w:bCs/>
          <w:szCs w:val="21"/>
          <w:highlight w:val="none"/>
        </w:rPr>
        <w:t>独立评分，所有评委</w:t>
      </w:r>
      <w:r>
        <w:rPr>
          <w:rFonts w:hint="eastAsia" w:cs="Times New Roman" w:asciiTheme="minorEastAsia" w:hAnsiTheme="minorEastAsia"/>
          <w:bCs/>
          <w:szCs w:val="21"/>
          <w:highlight w:val="none"/>
          <w:lang w:val="en-US" w:eastAsia="zh-CN"/>
        </w:rPr>
        <w:t>的</w:t>
      </w:r>
      <w:r>
        <w:rPr>
          <w:rFonts w:hint="eastAsia" w:cs="Times New Roman" w:asciiTheme="minorEastAsia" w:hAnsiTheme="minorEastAsia"/>
          <w:bCs/>
          <w:szCs w:val="21"/>
          <w:highlight w:val="none"/>
        </w:rPr>
        <w:t>评分总分</w:t>
      </w:r>
      <w:r>
        <w:rPr>
          <w:rFonts w:hint="eastAsia" w:cs="Times New Roman" w:asciiTheme="minorEastAsia" w:hAnsiTheme="minorEastAsia"/>
          <w:bCs/>
          <w:szCs w:val="21"/>
          <w:highlight w:val="none"/>
          <w:lang w:eastAsia="zh-CN"/>
        </w:rPr>
        <w:t>，</w:t>
      </w:r>
      <w:r>
        <w:rPr>
          <w:rFonts w:hint="eastAsia" w:cs="Times New Roman" w:asciiTheme="minorEastAsia" w:hAnsiTheme="minorEastAsia"/>
          <w:bCs/>
          <w:szCs w:val="21"/>
          <w:highlight w:val="none"/>
          <w:lang w:val="en-US" w:eastAsia="zh-CN"/>
        </w:rPr>
        <w:t>即为</w:t>
      </w:r>
      <w:r>
        <w:rPr>
          <w:rFonts w:hint="eastAsia" w:cs="Times New Roman" w:asciiTheme="minorEastAsia" w:hAnsiTheme="minorEastAsia"/>
          <w:bCs/>
          <w:szCs w:val="21"/>
          <w:highlight w:val="none"/>
        </w:rPr>
        <w:t>每个响应人的最终得分。按照评审得分由高到低顺序推荐1名候选人</w:t>
      </w:r>
      <w:r>
        <w:rPr>
          <w:rFonts w:hint="eastAsia" w:cs="Times New Roman" w:asciiTheme="minorEastAsia" w:hAnsiTheme="minorEastAsia"/>
          <w:bCs/>
          <w:szCs w:val="21"/>
          <w:highlight w:val="none"/>
          <w:lang w:eastAsia="zh-CN"/>
        </w:rPr>
        <w:t>（若出现总得分相同的情况，则依据价格部分的得分顺序进行排列）</w:t>
      </w:r>
      <w:r>
        <w:rPr>
          <w:rFonts w:hint="eastAsia" w:cs="Times New Roman" w:asciiTheme="minorEastAsia" w:hAnsiTheme="minorEastAsia"/>
          <w:bCs/>
          <w:szCs w:val="21"/>
          <w:highlight w:val="none"/>
        </w:rPr>
        <w:t>。采购</w:t>
      </w:r>
      <w:r>
        <w:rPr>
          <w:rFonts w:hint="eastAsia" w:cs="Times New Roman" w:asciiTheme="minorEastAsia" w:hAnsiTheme="minorEastAsia"/>
          <w:bCs/>
          <w:szCs w:val="21"/>
          <w:highlight w:val="none"/>
          <w:lang w:val="en-US" w:eastAsia="zh-CN"/>
        </w:rPr>
        <w:t>部门</w:t>
      </w:r>
      <w:r>
        <w:rPr>
          <w:rFonts w:hint="eastAsia" w:cs="Times New Roman" w:asciiTheme="minorEastAsia" w:hAnsiTheme="minorEastAsia"/>
          <w:bCs/>
          <w:szCs w:val="21"/>
          <w:highlight w:val="none"/>
        </w:rPr>
        <w:t>根据评审委员会的推荐意见，按照评审得分由高到低的原则确定排名第一的</w:t>
      </w:r>
      <w:r>
        <w:rPr>
          <w:rFonts w:hint="eastAsia" w:cs="Times New Roman" w:asciiTheme="minorEastAsia" w:hAnsiTheme="minorEastAsia"/>
          <w:bCs/>
          <w:szCs w:val="21"/>
          <w:highlight w:val="none"/>
          <w:lang w:val="en-US" w:eastAsia="zh-CN"/>
        </w:rPr>
        <w:t>响应</w:t>
      </w:r>
      <w:r>
        <w:rPr>
          <w:rFonts w:hint="eastAsia" w:cs="Times New Roman" w:asciiTheme="minorEastAsia" w:hAnsiTheme="minorEastAsia"/>
          <w:bCs/>
          <w:szCs w:val="21"/>
          <w:highlight w:val="none"/>
        </w:rPr>
        <w:t>人为</w:t>
      </w:r>
      <w:r>
        <w:rPr>
          <w:rFonts w:hint="eastAsia" w:cs="Times New Roman" w:asciiTheme="minorEastAsia" w:hAnsiTheme="minorEastAsia"/>
          <w:bCs/>
          <w:szCs w:val="21"/>
          <w:highlight w:val="none"/>
          <w:lang w:val="en-US" w:eastAsia="zh-CN"/>
        </w:rPr>
        <w:t>中选</w:t>
      </w:r>
      <w:r>
        <w:rPr>
          <w:rFonts w:hint="eastAsia" w:cs="Times New Roman" w:asciiTheme="minorEastAsia" w:hAnsiTheme="minorEastAsia"/>
          <w:bCs/>
          <w:szCs w:val="21"/>
          <w:highlight w:val="none"/>
        </w:rPr>
        <w:t>人。</w:t>
      </w:r>
    </w:p>
    <w:p w14:paraId="0B0B1EA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b/>
          <w:szCs w:val="21"/>
          <w:highlight w:val="none"/>
          <w:lang w:eastAsia="zh-CN"/>
        </w:rPr>
      </w:pPr>
      <w:r>
        <w:rPr>
          <w:rFonts w:hint="eastAsia" w:cs="Times New Roman" w:asciiTheme="minorEastAsia" w:hAnsiTheme="minorEastAsia"/>
          <w:bCs/>
          <w:szCs w:val="21"/>
          <w:highlight w:val="none"/>
          <w:lang w:val="en-US" w:eastAsia="zh-CN"/>
        </w:rPr>
        <w:t>3.</w:t>
      </w:r>
      <w:r>
        <w:rPr>
          <w:rFonts w:hint="eastAsia" w:cs="Times New Roman" w:asciiTheme="minorEastAsia" w:hAnsiTheme="minorEastAsia"/>
          <w:bCs/>
          <w:szCs w:val="21"/>
          <w:highlight w:val="none"/>
          <w:lang w:val="en-US" w:eastAsia="zh-CN"/>
        </w:rPr>
        <w:t>评分因素和评分标准</w:t>
      </w:r>
      <w:r>
        <w:rPr>
          <w:rFonts w:hint="eastAsia" w:cs="Times New Roman" w:asciiTheme="minorEastAsia" w:hAnsiTheme="minorEastAsia"/>
          <w:bCs/>
          <w:szCs w:val="21"/>
          <w:highlight w:val="none"/>
          <w:lang w:val="en-US" w:eastAsia="zh-CN"/>
        </w:rPr>
        <w:t>（</w:t>
      </w:r>
      <w:r>
        <w:rPr>
          <w:rFonts w:hint="eastAsia" w:cs="Times New Roman" w:asciiTheme="minorEastAsia" w:hAnsiTheme="minorEastAsia"/>
          <w:b/>
          <w:szCs w:val="21"/>
          <w:highlight w:val="none"/>
        </w:rPr>
        <w:t>说明：以下表格为参考评分表格，满分为100分</w:t>
      </w:r>
      <w:r>
        <w:rPr>
          <w:rFonts w:hint="eastAsia" w:cs="Times New Roman" w:asciiTheme="minorEastAsia" w:hAnsiTheme="minorEastAsia"/>
          <w:b/>
          <w:szCs w:val="21"/>
          <w:highlight w:val="none"/>
          <w:lang w:eastAsia="zh-CN"/>
        </w:rPr>
        <w:t>）</w:t>
      </w:r>
    </w:p>
    <w:tbl>
      <w:tblPr>
        <w:tblStyle w:val="11"/>
        <w:tblW w:w="514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02"/>
        <w:gridCol w:w="800"/>
        <w:gridCol w:w="872"/>
        <w:gridCol w:w="1126"/>
        <w:gridCol w:w="93"/>
        <w:gridCol w:w="584"/>
        <w:gridCol w:w="5431"/>
      </w:tblGrid>
      <w:tr w14:paraId="3CE03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413" w:type="pct"/>
            <w:vAlign w:val="center"/>
          </w:tcPr>
          <w:p w14:paraId="0E36B4F3">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序号</w:t>
            </w:r>
          </w:p>
        </w:tc>
        <w:tc>
          <w:tcPr>
            <w:tcW w:w="412" w:type="pct"/>
            <w:vAlign w:val="center"/>
          </w:tcPr>
          <w:p w14:paraId="0CECDC29">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评审</w:t>
            </w:r>
          </w:p>
          <w:p w14:paraId="0EECC6AD">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因素</w:t>
            </w:r>
          </w:p>
        </w:tc>
        <w:tc>
          <w:tcPr>
            <w:tcW w:w="449" w:type="pct"/>
            <w:vAlign w:val="center"/>
          </w:tcPr>
          <w:p w14:paraId="0E2B6FE5">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分值</w:t>
            </w:r>
          </w:p>
        </w:tc>
        <w:tc>
          <w:tcPr>
            <w:tcW w:w="580" w:type="pct"/>
            <w:vAlign w:val="center"/>
          </w:tcPr>
          <w:p w14:paraId="5A3746A0">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分项/描述</w:t>
            </w:r>
          </w:p>
        </w:tc>
        <w:tc>
          <w:tcPr>
            <w:tcW w:w="349" w:type="pct"/>
            <w:gridSpan w:val="2"/>
            <w:vAlign w:val="center"/>
          </w:tcPr>
          <w:p w14:paraId="708DBDB3">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分值</w:t>
            </w:r>
          </w:p>
        </w:tc>
        <w:tc>
          <w:tcPr>
            <w:tcW w:w="2797" w:type="pct"/>
            <w:vAlign w:val="center"/>
          </w:tcPr>
          <w:p w14:paraId="65E5C2B4">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评分标准</w:t>
            </w:r>
          </w:p>
        </w:tc>
      </w:tr>
      <w:tr w14:paraId="10D30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000" w:type="pct"/>
            <w:gridSpan w:val="7"/>
            <w:vAlign w:val="center"/>
          </w:tcPr>
          <w:p w14:paraId="417C87CE">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价格：10分</w:t>
            </w:r>
          </w:p>
        </w:tc>
      </w:tr>
      <w:tr w14:paraId="13F76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13" w:type="pct"/>
            <w:vAlign w:val="center"/>
          </w:tcPr>
          <w:p w14:paraId="61F6F78D">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1</w:t>
            </w:r>
          </w:p>
        </w:tc>
        <w:tc>
          <w:tcPr>
            <w:tcW w:w="412" w:type="pct"/>
            <w:vAlign w:val="center"/>
          </w:tcPr>
          <w:p w14:paraId="63A9BCCB">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报价</w:t>
            </w:r>
          </w:p>
        </w:tc>
        <w:tc>
          <w:tcPr>
            <w:tcW w:w="449" w:type="pct"/>
            <w:vAlign w:val="center"/>
          </w:tcPr>
          <w:p w14:paraId="5D650A48">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10</w:t>
            </w:r>
          </w:p>
        </w:tc>
        <w:tc>
          <w:tcPr>
            <w:tcW w:w="628" w:type="pct"/>
            <w:gridSpan w:val="2"/>
            <w:vAlign w:val="center"/>
          </w:tcPr>
          <w:p w14:paraId="3B3F1A7C">
            <w:pPr>
              <w:snapToGrid w:val="0"/>
              <w:spacing w:line="240" w:lineRule="auto"/>
              <w:ind w:firstLine="210" w:firstLineChars="100"/>
              <w:jc w:val="left"/>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价格分</w:t>
            </w:r>
          </w:p>
        </w:tc>
        <w:tc>
          <w:tcPr>
            <w:tcW w:w="301" w:type="pct"/>
            <w:vAlign w:val="center"/>
          </w:tcPr>
          <w:p w14:paraId="1797CBF9">
            <w:pPr>
              <w:snapToGrid w:val="0"/>
              <w:spacing w:line="240" w:lineRule="auto"/>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10</w:t>
            </w:r>
          </w:p>
        </w:tc>
        <w:tc>
          <w:tcPr>
            <w:tcW w:w="2797" w:type="pct"/>
            <w:vAlign w:val="center"/>
          </w:tcPr>
          <w:p w14:paraId="00C88AF3">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满足文件要求且评审报价最低的价格为基准价，其评审价格得分为满分。其他供应商的价格得分统一按照下列公式计算：</w:t>
            </w:r>
          </w:p>
          <w:p w14:paraId="1DB73CB3">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价格得分=(基准价／评审价格)×10</w:t>
            </w:r>
          </w:p>
          <w:p w14:paraId="1100B864">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注1：价格分数保留两位小数。</w:t>
            </w:r>
          </w:p>
        </w:tc>
      </w:tr>
      <w:tr w14:paraId="1F0F8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5000" w:type="pct"/>
            <w:gridSpan w:val="7"/>
            <w:vAlign w:val="center"/>
          </w:tcPr>
          <w:p w14:paraId="3AA966FC">
            <w:pPr>
              <w:snapToGrid w:val="0"/>
              <w:spacing w:line="240" w:lineRule="auto"/>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商务部分：48分</w:t>
            </w:r>
          </w:p>
        </w:tc>
      </w:tr>
      <w:tr w14:paraId="4E88B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413" w:type="pct"/>
            <w:vAlign w:val="center"/>
          </w:tcPr>
          <w:p w14:paraId="34465987">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2</w:t>
            </w:r>
          </w:p>
        </w:tc>
        <w:tc>
          <w:tcPr>
            <w:tcW w:w="412" w:type="pct"/>
            <w:vMerge w:val="restart"/>
            <w:vAlign w:val="center"/>
          </w:tcPr>
          <w:p w14:paraId="09E559C7">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商务部分</w:t>
            </w:r>
          </w:p>
        </w:tc>
        <w:tc>
          <w:tcPr>
            <w:tcW w:w="449" w:type="pct"/>
            <w:vMerge w:val="restart"/>
            <w:vAlign w:val="center"/>
          </w:tcPr>
          <w:p w14:paraId="3EB1DC15">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48</w:t>
            </w:r>
          </w:p>
        </w:tc>
        <w:tc>
          <w:tcPr>
            <w:tcW w:w="580" w:type="pct"/>
            <w:vAlign w:val="center"/>
          </w:tcPr>
          <w:p w14:paraId="4854D6FA">
            <w:pPr>
              <w:snapToGrid w:val="0"/>
              <w:spacing w:line="240" w:lineRule="auto"/>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响应文件质量</w:t>
            </w:r>
          </w:p>
        </w:tc>
        <w:tc>
          <w:tcPr>
            <w:tcW w:w="349" w:type="pct"/>
            <w:gridSpan w:val="2"/>
            <w:vAlign w:val="center"/>
          </w:tcPr>
          <w:p w14:paraId="79C7FF98">
            <w:pPr>
              <w:snapToGrid w:val="0"/>
              <w:spacing w:line="240" w:lineRule="auto"/>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5</w:t>
            </w:r>
          </w:p>
        </w:tc>
        <w:tc>
          <w:tcPr>
            <w:tcW w:w="2797" w:type="pct"/>
            <w:vAlign w:val="center"/>
          </w:tcPr>
          <w:p w14:paraId="08A57511">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有目录索引、页码无错乱、标题、编号、正文、表格等排版规范得5分，每出现一个错误扣1分，扣完为止。</w:t>
            </w:r>
          </w:p>
        </w:tc>
      </w:tr>
      <w:tr w14:paraId="3066F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413" w:type="pct"/>
            <w:vAlign w:val="center"/>
          </w:tcPr>
          <w:p w14:paraId="688B87D7">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2</w:t>
            </w:r>
          </w:p>
        </w:tc>
        <w:tc>
          <w:tcPr>
            <w:tcW w:w="412" w:type="pct"/>
            <w:vMerge w:val="continue"/>
            <w:vAlign w:val="center"/>
          </w:tcPr>
          <w:p w14:paraId="0086CC4D">
            <w:pPr>
              <w:snapToGrid w:val="0"/>
              <w:spacing w:line="360" w:lineRule="exact"/>
              <w:ind w:firstLine="0" w:firstLineChars="0"/>
              <w:jc w:val="center"/>
              <w:rPr>
                <w:rFonts w:hint="eastAsia" w:cs="Times New Roman" w:asciiTheme="minorEastAsia" w:hAnsiTheme="minorEastAsia"/>
                <w:bCs/>
                <w:szCs w:val="21"/>
                <w:highlight w:val="none"/>
              </w:rPr>
            </w:pPr>
          </w:p>
        </w:tc>
        <w:tc>
          <w:tcPr>
            <w:tcW w:w="449" w:type="pct"/>
            <w:vMerge w:val="continue"/>
            <w:vAlign w:val="center"/>
          </w:tcPr>
          <w:p w14:paraId="53E88D66">
            <w:pPr>
              <w:snapToGrid w:val="0"/>
              <w:spacing w:line="360" w:lineRule="exact"/>
              <w:ind w:firstLine="0" w:firstLineChars="0"/>
              <w:jc w:val="center"/>
              <w:rPr>
                <w:rFonts w:hint="eastAsia" w:cs="Times New Roman" w:asciiTheme="minorEastAsia" w:hAnsiTheme="minorEastAsia"/>
                <w:bCs/>
                <w:szCs w:val="21"/>
                <w:highlight w:val="none"/>
              </w:rPr>
            </w:pPr>
          </w:p>
        </w:tc>
        <w:tc>
          <w:tcPr>
            <w:tcW w:w="580" w:type="pct"/>
            <w:vAlign w:val="center"/>
          </w:tcPr>
          <w:p w14:paraId="640F9FB7">
            <w:pPr>
              <w:snapToGrid w:val="0"/>
              <w:spacing w:line="240" w:lineRule="auto"/>
              <w:ind w:firstLine="0" w:firstLineChars="0"/>
              <w:jc w:val="left"/>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类似业绩</w:t>
            </w:r>
          </w:p>
        </w:tc>
        <w:tc>
          <w:tcPr>
            <w:tcW w:w="349" w:type="pct"/>
            <w:gridSpan w:val="2"/>
            <w:vAlign w:val="center"/>
          </w:tcPr>
          <w:p w14:paraId="040970D8">
            <w:pPr>
              <w:snapToGrid w:val="0"/>
              <w:spacing w:line="240" w:lineRule="auto"/>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12</w:t>
            </w:r>
          </w:p>
        </w:tc>
        <w:tc>
          <w:tcPr>
            <w:tcW w:w="2797" w:type="pct"/>
            <w:vAlign w:val="center"/>
          </w:tcPr>
          <w:p w14:paraId="04ED7E72">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供应商近三年（2022年2月至文件递交截止日）具有类似项目业绩案例，提供合同作为证明材料，每提供一个得2分，满分12分；</w:t>
            </w:r>
          </w:p>
          <w:p w14:paraId="5CD18B4D">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注：合同应至少包含合同首页、签字盖章页和体现上述服务的相关内容页，复印件并加盖供应商公章，不提供或证明材料不全不得分。</w:t>
            </w:r>
          </w:p>
        </w:tc>
      </w:tr>
      <w:tr w14:paraId="27BDC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 w:hRule="atLeast"/>
        </w:trPr>
        <w:tc>
          <w:tcPr>
            <w:tcW w:w="413" w:type="pct"/>
            <w:vMerge w:val="restart"/>
            <w:vAlign w:val="center"/>
          </w:tcPr>
          <w:p w14:paraId="48682C7C">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3</w:t>
            </w:r>
          </w:p>
        </w:tc>
        <w:tc>
          <w:tcPr>
            <w:tcW w:w="412" w:type="pct"/>
            <w:vMerge w:val="continue"/>
            <w:vAlign w:val="center"/>
          </w:tcPr>
          <w:p w14:paraId="44A12B8D">
            <w:pPr>
              <w:snapToGrid w:val="0"/>
              <w:spacing w:line="360" w:lineRule="exact"/>
              <w:ind w:firstLine="0" w:firstLineChars="0"/>
              <w:jc w:val="center"/>
              <w:rPr>
                <w:rFonts w:hint="eastAsia" w:cs="Times New Roman" w:asciiTheme="minorEastAsia" w:hAnsiTheme="minorEastAsia"/>
                <w:bCs/>
                <w:szCs w:val="21"/>
                <w:highlight w:val="none"/>
              </w:rPr>
            </w:pPr>
          </w:p>
        </w:tc>
        <w:tc>
          <w:tcPr>
            <w:tcW w:w="449" w:type="pct"/>
            <w:vMerge w:val="continue"/>
            <w:vAlign w:val="center"/>
          </w:tcPr>
          <w:p w14:paraId="0D7F18D4">
            <w:pPr>
              <w:snapToGrid w:val="0"/>
              <w:spacing w:line="360" w:lineRule="exact"/>
              <w:ind w:firstLine="0" w:firstLineChars="0"/>
              <w:jc w:val="center"/>
              <w:rPr>
                <w:rFonts w:hint="eastAsia" w:cs="Times New Roman" w:asciiTheme="minorEastAsia" w:hAnsiTheme="minorEastAsia"/>
                <w:bCs/>
                <w:szCs w:val="21"/>
                <w:highlight w:val="none"/>
              </w:rPr>
            </w:pPr>
          </w:p>
        </w:tc>
        <w:tc>
          <w:tcPr>
            <w:tcW w:w="580" w:type="pct"/>
            <w:vMerge w:val="restart"/>
            <w:shd w:val="clear" w:color="auto" w:fill="auto"/>
            <w:vAlign w:val="center"/>
          </w:tcPr>
          <w:p w14:paraId="33FA0187">
            <w:pPr>
              <w:snapToGrid w:val="0"/>
              <w:spacing w:line="240" w:lineRule="auto"/>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主要项目负责人职称和业绩</w:t>
            </w:r>
          </w:p>
        </w:tc>
        <w:tc>
          <w:tcPr>
            <w:tcW w:w="349" w:type="pct"/>
            <w:gridSpan w:val="2"/>
            <w:shd w:val="clear" w:color="auto" w:fill="auto"/>
            <w:vAlign w:val="center"/>
          </w:tcPr>
          <w:p w14:paraId="5C5A3EB5">
            <w:pPr>
              <w:snapToGrid w:val="0"/>
              <w:spacing w:line="240" w:lineRule="auto"/>
              <w:ind w:firstLine="0" w:firstLineChars="0"/>
              <w:jc w:val="center"/>
              <w:rPr>
                <w:rFonts w:hint="eastAsia" w:cs="Times New Roman" w:asciiTheme="minorEastAsia" w:hAnsiTheme="minorEastAsia"/>
                <w:bCs/>
                <w:szCs w:val="21"/>
                <w:highlight w:val="none"/>
              </w:rPr>
            </w:pPr>
            <w:r>
              <w:rPr>
                <w:rFonts w:cs="Times New Roman" w:asciiTheme="minorEastAsia" w:hAnsiTheme="minorEastAsia"/>
                <w:bCs/>
                <w:szCs w:val="21"/>
                <w:highlight w:val="none"/>
              </w:rPr>
              <w:t>10</w:t>
            </w:r>
          </w:p>
        </w:tc>
        <w:tc>
          <w:tcPr>
            <w:tcW w:w="2797" w:type="pct"/>
            <w:shd w:val="clear" w:color="auto" w:fill="auto"/>
            <w:vAlign w:val="center"/>
          </w:tcPr>
          <w:p w14:paraId="362AF96A">
            <w:pPr>
              <w:snapToGrid w:val="0"/>
              <w:spacing w:line="240" w:lineRule="auto"/>
              <w:ind w:firstLine="0" w:firstLineChars="0"/>
              <w:rPr>
                <w:rFonts w:hint="eastAsia" w:cs="Times New Roman" w:asciiTheme="minorEastAsia" w:hAnsiTheme="minorEastAsia"/>
                <w:bCs/>
                <w:szCs w:val="21"/>
                <w:highlight w:val="none"/>
              </w:rPr>
            </w:pPr>
            <w:r>
              <w:rPr>
                <w:rFonts w:cs="Times New Roman" w:asciiTheme="minorEastAsia" w:hAnsiTheme="minorEastAsia"/>
                <w:bCs/>
                <w:szCs w:val="21"/>
                <w:highlight w:val="none"/>
              </w:rPr>
              <w:t>提供承担过</w:t>
            </w:r>
            <w:r>
              <w:rPr>
                <w:rFonts w:hint="eastAsia" w:cs="Times New Roman" w:asciiTheme="minorEastAsia" w:hAnsiTheme="minorEastAsia"/>
                <w:bCs/>
                <w:szCs w:val="21"/>
                <w:highlight w:val="none"/>
              </w:rPr>
              <w:t>类似</w:t>
            </w:r>
            <w:r>
              <w:rPr>
                <w:rFonts w:cs="Times New Roman" w:asciiTheme="minorEastAsia" w:hAnsiTheme="minorEastAsia"/>
                <w:bCs/>
                <w:szCs w:val="21"/>
                <w:highlight w:val="none"/>
              </w:rPr>
              <w:t>项目业绩。有一个得1分，最多得10分，没有不得分。</w:t>
            </w:r>
            <w:r>
              <w:rPr>
                <w:rFonts w:hint="eastAsia" w:cs="Times New Roman" w:asciiTheme="minorEastAsia" w:hAnsiTheme="minorEastAsia"/>
                <w:bCs/>
                <w:szCs w:val="21"/>
                <w:highlight w:val="none"/>
              </w:rPr>
              <w:t>提供合同作为证明材料。</w:t>
            </w:r>
          </w:p>
        </w:tc>
      </w:tr>
      <w:tr w14:paraId="0A37C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13" w:type="pct"/>
            <w:vMerge w:val="continue"/>
            <w:vAlign w:val="center"/>
          </w:tcPr>
          <w:p w14:paraId="09C3587B">
            <w:pPr>
              <w:snapToGrid w:val="0"/>
              <w:spacing w:line="360" w:lineRule="exact"/>
              <w:ind w:firstLine="0" w:firstLineChars="0"/>
              <w:jc w:val="center"/>
              <w:rPr>
                <w:rFonts w:hint="eastAsia" w:cs="Times New Roman" w:asciiTheme="minorEastAsia" w:hAnsiTheme="minorEastAsia"/>
                <w:bCs/>
                <w:szCs w:val="21"/>
                <w:highlight w:val="none"/>
              </w:rPr>
            </w:pPr>
          </w:p>
        </w:tc>
        <w:tc>
          <w:tcPr>
            <w:tcW w:w="412" w:type="pct"/>
            <w:vMerge w:val="continue"/>
            <w:vAlign w:val="center"/>
          </w:tcPr>
          <w:p w14:paraId="2A98E51C">
            <w:pPr>
              <w:snapToGrid w:val="0"/>
              <w:spacing w:line="360" w:lineRule="exact"/>
              <w:ind w:firstLine="0" w:firstLineChars="0"/>
              <w:jc w:val="center"/>
              <w:rPr>
                <w:rFonts w:hint="eastAsia" w:cs="Times New Roman" w:asciiTheme="minorEastAsia" w:hAnsiTheme="minorEastAsia"/>
                <w:bCs/>
                <w:szCs w:val="21"/>
                <w:highlight w:val="none"/>
              </w:rPr>
            </w:pPr>
          </w:p>
        </w:tc>
        <w:tc>
          <w:tcPr>
            <w:tcW w:w="449" w:type="pct"/>
            <w:vMerge w:val="continue"/>
            <w:vAlign w:val="center"/>
          </w:tcPr>
          <w:p w14:paraId="2B5033BE">
            <w:pPr>
              <w:snapToGrid w:val="0"/>
              <w:spacing w:line="360" w:lineRule="exact"/>
              <w:ind w:firstLine="0" w:firstLineChars="0"/>
              <w:jc w:val="center"/>
              <w:rPr>
                <w:rFonts w:hint="eastAsia" w:cs="Times New Roman" w:asciiTheme="minorEastAsia" w:hAnsiTheme="minorEastAsia"/>
                <w:bCs/>
                <w:szCs w:val="21"/>
                <w:highlight w:val="none"/>
              </w:rPr>
            </w:pPr>
          </w:p>
        </w:tc>
        <w:tc>
          <w:tcPr>
            <w:tcW w:w="580" w:type="pct"/>
            <w:vMerge w:val="continue"/>
            <w:shd w:val="clear" w:color="auto" w:fill="auto"/>
            <w:vAlign w:val="center"/>
          </w:tcPr>
          <w:p w14:paraId="799DB05F">
            <w:pPr>
              <w:snapToGrid w:val="0"/>
              <w:spacing w:line="240" w:lineRule="auto"/>
              <w:ind w:firstLine="0" w:firstLineChars="0"/>
              <w:jc w:val="left"/>
              <w:rPr>
                <w:rFonts w:hint="eastAsia" w:cs="Times New Roman" w:asciiTheme="minorEastAsia" w:hAnsiTheme="minorEastAsia"/>
                <w:bCs/>
                <w:szCs w:val="21"/>
                <w:highlight w:val="none"/>
              </w:rPr>
            </w:pPr>
          </w:p>
        </w:tc>
        <w:tc>
          <w:tcPr>
            <w:tcW w:w="349" w:type="pct"/>
            <w:gridSpan w:val="2"/>
            <w:shd w:val="clear" w:color="auto" w:fill="auto"/>
            <w:vAlign w:val="center"/>
          </w:tcPr>
          <w:p w14:paraId="0CE1FE72">
            <w:pPr>
              <w:snapToGrid w:val="0"/>
              <w:spacing w:line="240" w:lineRule="auto"/>
              <w:ind w:firstLine="0" w:firstLineChars="0"/>
              <w:jc w:val="center"/>
              <w:rPr>
                <w:rFonts w:hint="eastAsia" w:cs="Times New Roman" w:asciiTheme="minorEastAsia" w:hAnsiTheme="minorEastAsia"/>
                <w:bCs/>
                <w:szCs w:val="21"/>
                <w:highlight w:val="none"/>
              </w:rPr>
            </w:pPr>
            <w:r>
              <w:rPr>
                <w:rFonts w:cs="Times New Roman" w:asciiTheme="minorEastAsia" w:hAnsiTheme="minorEastAsia"/>
                <w:bCs/>
                <w:szCs w:val="21"/>
                <w:highlight w:val="none"/>
              </w:rPr>
              <w:t>5</w:t>
            </w:r>
          </w:p>
        </w:tc>
        <w:tc>
          <w:tcPr>
            <w:tcW w:w="2797" w:type="pct"/>
            <w:shd w:val="clear" w:color="auto" w:fill="auto"/>
            <w:vAlign w:val="center"/>
          </w:tcPr>
          <w:p w14:paraId="114BFEDC">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提供项目负责人的职称复印件，正高</w:t>
            </w:r>
            <w:r>
              <w:rPr>
                <w:rFonts w:cs="Times New Roman" w:asciiTheme="minorEastAsia" w:hAnsiTheme="minorEastAsia"/>
                <w:bCs/>
                <w:szCs w:val="21"/>
                <w:highlight w:val="none"/>
              </w:rPr>
              <w:t>5分，副高3分，其他不得分。</w:t>
            </w:r>
          </w:p>
        </w:tc>
      </w:tr>
      <w:tr w14:paraId="4388E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13" w:type="pct"/>
            <w:vAlign w:val="center"/>
          </w:tcPr>
          <w:p w14:paraId="28008877">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4</w:t>
            </w:r>
          </w:p>
        </w:tc>
        <w:tc>
          <w:tcPr>
            <w:tcW w:w="412" w:type="pct"/>
            <w:vMerge w:val="continue"/>
            <w:vAlign w:val="center"/>
          </w:tcPr>
          <w:p w14:paraId="711B2E80">
            <w:pPr>
              <w:snapToGrid w:val="0"/>
              <w:spacing w:line="360" w:lineRule="exact"/>
              <w:ind w:firstLine="0" w:firstLineChars="0"/>
              <w:jc w:val="center"/>
              <w:rPr>
                <w:rFonts w:hint="eastAsia" w:cs="Times New Roman" w:asciiTheme="minorEastAsia" w:hAnsiTheme="minorEastAsia"/>
                <w:bCs/>
                <w:szCs w:val="21"/>
                <w:highlight w:val="none"/>
              </w:rPr>
            </w:pPr>
          </w:p>
        </w:tc>
        <w:tc>
          <w:tcPr>
            <w:tcW w:w="449" w:type="pct"/>
            <w:vMerge w:val="continue"/>
            <w:vAlign w:val="center"/>
          </w:tcPr>
          <w:p w14:paraId="21C1D6F7">
            <w:pPr>
              <w:snapToGrid w:val="0"/>
              <w:spacing w:line="360" w:lineRule="exact"/>
              <w:ind w:firstLine="0" w:firstLineChars="0"/>
              <w:jc w:val="center"/>
              <w:rPr>
                <w:rFonts w:hint="eastAsia" w:cs="Times New Roman" w:asciiTheme="minorEastAsia" w:hAnsiTheme="minorEastAsia"/>
                <w:bCs/>
                <w:szCs w:val="21"/>
                <w:highlight w:val="none"/>
              </w:rPr>
            </w:pPr>
          </w:p>
        </w:tc>
        <w:tc>
          <w:tcPr>
            <w:tcW w:w="580" w:type="pct"/>
            <w:vAlign w:val="center"/>
          </w:tcPr>
          <w:p w14:paraId="685A918B">
            <w:pPr>
              <w:widowControl/>
              <w:snapToGrid w:val="0"/>
              <w:spacing w:line="240" w:lineRule="auto"/>
              <w:ind w:firstLine="0" w:firstLineChars="0"/>
              <w:jc w:val="left"/>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管理体系</w:t>
            </w:r>
          </w:p>
        </w:tc>
        <w:tc>
          <w:tcPr>
            <w:tcW w:w="349" w:type="pct"/>
            <w:gridSpan w:val="2"/>
            <w:vAlign w:val="center"/>
          </w:tcPr>
          <w:p w14:paraId="61088A48">
            <w:pPr>
              <w:snapToGrid w:val="0"/>
              <w:spacing w:line="240" w:lineRule="auto"/>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6</w:t>
            </w:r>
          </w:p>
        </w:tc>
        <w:tc>
          <w:tcPr>
            <w:tcW w:w="2797" w:type="pct"/>
            <w:vAlign w:val="center"/>
          </w:tcPr>
          <w:p w14:paraId="63D282F6">
            <w:pPr>
              <w:snapToGrid w:val="0"/>
              <w:spacing w:line="240" w:lineRule="auto"/>
              <w:ind w:firstLine="0" w:firstLineChars="0"/>
              <w:rPr>
                <w:rFonts w:hint="eastAsia" w:cs="Times New Roman" w:asciiTheme="minorEastAsia" w:hAnsiTheme="minorEastAsia"/>
                <w:bCs/>
                <w:szCs w:val="21"/>
                <w:highlight w:val="none"/>
              </w:rPr>
            </w:pPr>
            <w:r>
              <w:rPr>
                <w:rFonts w:cs="Times New Roman" w:asciiTheme="minorEastAsia" w:hAnsiTheme="minorEastAsia"/>
                <w:bCs/>
                <w:szCs w:val="21"/>
                <w:highlight w:val="none"/>
              </w:rPr>
              <w:t>具有有效的质量管理体系、环境管理体系、职业健康安全管理体系有一个得2分，不具有不得分。（须提供有效的资质证书复印件并加盖公章）</w:t>
            </w:r>
          </w:p>
        </w:tc>
      </w:tr>
      <w:tr w14:paraId="2A090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13" w:type="pct"/>
            <w:vAlign w:val="center"/>
          </w:tcPr>
          <w:p w14:paraId="29C5188B">
            <w:pPr>
              <w:snapToGrid w:val="0"/>
              <w:spacing w:line="240" w:lineRule="auto"/>
              <w:ind w:firstLine="315" w:firstLineChars="15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5</w:t>
            </w:r>
          </w:p>
        </w:tc>
        <w:tc>
          <w:tcPr>
            <w:tcW w:w="412" w:type="pct"/>
            <w:vMerge w:val="continue"/>
            <w:vAlign w:val="center"/>
          </w:tcPr>
          <w:p w14:paraId="13A4C3D2">
            <w:pPr>
              <w:snapToGrid w:val="0"/>
              <w:spacing w:line="240" w:lineRule="auto"/>
              <w:ind w:firstLine="0" w:firstLineChars="0"/>
              <w:rPr>
                <w:rFonts w:hint="eastAsia" w:cs="Times New Roman" w:asciiTheme="minorEastAsia" w:hAnsiTheme="minorEastAsia"/>
                <w:bCs/>
                <w:szCs w:val="21"/>
                <w:highlight w:val="none"/>
              </w:rPr>
            </w:pPr>
          </w:p>
        </w:tc>
        <w:tc>
          <w:tcPr>
            <w:tcW w:w="449" w:type="pct"/>
            <w:vMerge w:val="continue"/>
            <w:vAlign w:val="center"/>
          </w:tcPr>
          <w:p w14:paraId="08FB4046">
            <w:pPr>
              <w:snapToGrid w:val="0"/>
              <w:spacing w:line="240" w:lineRule="auto"/>
              <w:ind w:firstLine="0" w:firstLineChars="0"/>
              <w:rPr>
                <w:rFonts w:hint="eastAsia" w:cs="Times New Roman" w:asciiTheme="minorEastAsia" w:hAnsiTheme="minorEastAsia"/>
                <w:bCs/>
                <w:szCs w:val="21"/>
                <w:highlight w:val="none"/>
              </w:rPr>
            </w:pPr>
          </w:p>
        </w:tc>
        <w:tc>
          <w:tcPr>
            <w:tcW w:w="580" w:type="pct"/>
            <w:vAlign w:val="center"/>
          </w:tcPr>
          <w:p w14:paraId="6CE386DD">
            <w:pPr>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项目组人员及配置结构</w:t>
            </w:r>
          </w:p>
        </w:tc>
        <w:tc>
          <w:tcPr>
            <w:tcW w:w="349" w:type="pct"/>
            <w:gridSpan w:val="2"/>
            <w:vAlign w:val="center"/>
          </w:tcPr>
          <w:p w14:paraId="7B4F1F4E">
            <w:pPr>
              <w:snapToGrid w:val="0"/>
              <w:spacing w:line="240" w:lineRule="auto"/>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10</w:t>
            </w:r>
          </w:p>
        </w:tc>
        <w:tc>
          <w:tcPr>
            <w:tcW w:w="2797" w:type="pct"/>
            <w:vAlign w:val="center"/>
          </w:tcPr>
          <w:p w14:paraId="740569C7">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项目人员组成合理，人员职称、能力等占比科学，得10分；项目人员组成满足项目需求，人员职称、能力等占比较科学，得</w:t>
            </w:r>
            <w:r>
              <w:rPr>
                <w:rFonts w:cs="Times New Roman" w:asciiTheme="minorEastAsia" w:hAnsiTheme="minorEastAsia"/>
                <w:bCs/>
                <w:szCs w:val="21"/>
                <w:highlight w:val="none"/>
              </w:rPr>
              <w:t>5分；项目人员组成可以满足项目需求，人员职称、能力等占比较差，得3分。</w:t>
            </w:r>
          </w:p>
        </w:tc>
      </w:tr>
      <w:tr w14:paraId="42EC2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5000" w:type="pct"/>
            <w:gridSpan w:val="7"/>
            <w:vAlign w:val="center"/>
          </w:tcPr>
          <w:p w14:paraId="50D83093">
            <w:pPr>
              <w:snapToGrid w:val="0"/>
              <w:spacing w:line="240" w:lineRule="auto"/>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技术部分：42分</w:t>
            </w:r>
          </w:p>
        </w:tc>
      </w:tr>
      <w:tr w14:paraId="793CF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13" w:type="pct"/>
            <w:vAlign w:val="center"/>
          </w:tcPr>
          <w:p w14:paraId="5BC036D2">
            <w:pPr>
              <w:snapToGrid w:val="0"/>
              <w:spacing w:line="240" w:lineRule="auto"/>
              <w:ind w:firstLine="315" w:firstLineChars="15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6</w:t>
            </w:r>
          </w:p>
        </w:tc>
        <w:tc>
          <w:tcPr>
            <w:tcW w:w="412" w:type="pct"/>
            <w:vMerge w:val="restart"/>
            <w:vAlign w:val="center"/>
          </w:tcPr>
          <w:p w14:paraId="73CACE08">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服务方案</w:t>
            </w:r>
          </w:p>
        </w:tc>
        <w:tc>
          <w:tcPr>
            <w:tcW w:w="449" w:type="pct"/>
            <w:vMerge w:val="restart"/>
            <w:vAlign w:val="center"/>
          </w:tcPr>
          <w:p w14:paraId="459A319B">
            <w:pPr>
              <w:snapToGrid w:val="0"/>
              <w:spacing w:line="240" w:lineRule="auto"/>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42</w:t>
            </w:r>
          </w:p>
        </w:tc>
        <w:tc>
          <w:tcPr>
            <w:tcW w:w="580" w:type="pct"/>
            <w:vAlign w:val="center"/>
          </w:tcPr>
          <w:p w14:paraId="68635003">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技术服务方案总体情况</w:t>
            </w:r>
          </w:p>
        </w:tc>
        <w:tc>
          <w:tcPr>
            <w:tcW w:w="349" w:type="pct"/>
            <w:gridSpan w:val="2"/>
            <w:vAlign w:val="center"/>
          </w:tcPr>
          <w:p w14:paraId="13B8EF28">
            <w:pPr>
              <w:snapToGrid w:val="0"/>
              <w:spacing w:line="240" w:lineRule="auto"/>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5</w:t>
            </w:r>
          </w:p>
        </w:tc>
        <w:tc>
          <w:tcPr>
            <w:tcW w:w="2797" w:type="pct"/>
            <w:vAlign w:val="center"/>
          </w:tcPr>
          <w:p w14:paraId="05103936">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方案针对性强、完整全面、组织合理、科学严谨，得5分；</w:t>
            </w:r>
          </w:p>
          <w:p w14:paraId="2400E2BD">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方案比较合理、可行、细节待完善，得3分；</w:t>
            </w:r>
          </w:p>
          <w:p w14:paraId="784ED62B">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方案基本合理、但不全面、细节有欠缺，得1分；</w:t>
            </w:r>
          </w:p>
          <w:p w14:paraId="5714FEC6">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未提供方案不得分。</w:t>
            </w:r>
          </w:p>
        </w:tc>
      </w:tr>
      <w:tr w14:paraId="45B31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13" w:type="pct"/>
            <w:vAlign w:val="center"/>
          </w:tcPr>
          <w:p w14:paraId="764E7951">
            <w:pPr>
              <w:snapToGrid w:val="0"/>
              <w:spacing w:line="240" w:lineRule="auto"/>
              <w:ind w:firstLine="315" w:firstLineChars="15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7</w:t>
            </w:r>
          </w:p>
        </w:tc>
        <w:tc>
          <w:tcPr>
            <w:tcW w:w="412" w:type="pct"/>
            <w:vMerge w:val="continue"/>
            <w:vAlign w:val="center"/>
          </w:tcPr>
          <w:p w14:paraId="472562C6">
            <w:pPr>
              <w:snapToGrid w:val="0"/>
              <w:spacing w:line="240" w:lineRule="auto"/>
              <w:ind w:firstLine="0" w:firstLineChars="0"/>
              <w:rPr>
                <w:rFonts w:hint="eastAsia" w:cs="Times New Roman" w:asciiTheme="minorEastAsia" w:hAnsiTheme="minorEastAsia"/>
                <w:bCs/>
                <w:szCs w:val="21"/>
                <w:highlight w:val="none"/>
              </w:rPr>
            </w:pPr>
          </w:p>
        </w:tc>
        <w:tc>
          <w:tcPr>
            <w:tcW w:w="449" w:type="pct"/>
            <w:vMerge w:val="continue"/>
            <w:vAlign w:val="center"/>
          </w:tcPr>
          <w:p w14:paraId="40E522E2">
            <w:pPr>
              <w:snapToGrid w:val="0"/>
              <w:spacing w:line="240" w:lineRule="auto"/>
              <w:ind w:firstLine="0" w:firstLineChars="0"/>
              <w:rPr>
                <w:rFonts w:hint="eastAsia" w:cs="Times New Roman" w:asciiTheme="minorEastAsia" w:hAnsiTheme="minorEastAsia"/>
                <w:bCs/>
                <w:szCs w:val="21"/>
                <w:highlight w:val="none"/>
              </w:rPr>
            </w:pPr>
          </w:p>
        </w:tc>
        <w:tc>
          <w:tcPr>
            <w:tcW w:w="580" w:type="pct"/>
            <w:vAlign w:val="center"/>
          </w:tcPr>
          <w:p w14:paraId="2331DCC1">
            <w:pPr>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项目特点、工作的重点与难点分析及对策</w:t>
            </w:r>
          </w:p>
        </w:tc>
        <w:tc>
          <w:tcPr>
            <w:tcW w:w="349" w:type="pct"/>
            <w:gridSpan w:val="2"/>
            <w:vAlign w:val="center"/>
          </w:tcPr>
          <w:p w14:paraId="21B0007E">
            <w:pPr>
              <w:snapToGrid w:val="0"/>
              <w:spacing w:line="240" w:lineRule="auto"/>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20</w:t>
            </w:r>
          </w:p>
        </w:tc>
        <w:tc>
          <w:tcPr>
            <w:tcW w:w="2797" w:type="pct"/>
            <w:vAlign w:val="center"/>
          </w:tcPr>
          <w:p w14:paraId="23BAC849">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重点、难点分析准确，对策针对性强、科学、可行，得20分；</w:t>
            </w:r>
          </w:p>
          <w:p w14:paraId="0646B6EB">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重点、难点分析较准确，对策针对性较强、科学、可行，得15分；</w:t>
            </w:r>
          </w:p>
          <w:p w14:paraId="2503CE86">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重点、难点分析基本准确，对策针对性勉强、科学、基本可行，得10分；</w:t>
            </w:r>
          </w:p>
          <w:p w14:paraId="3E0816CD">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重点、难点分析不准确，对策针对性不强、不科学、不可行，得5分；</w:t>
            </w:r>
          </w:p>
          <w:p w14:paraId="4CEB958A">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未提供方案不得分。</w:t>
            </w:r>
          </w:p>
        </w:tc>
      </w:tr>
      <w:tr w14:paraId="673DA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13" w:type="pct"/>
            <w:vAlign w:val="center"/>
          </w:tcPr>
          <w:p w14:paraId="6440D2C4">
            <w:pPr>
              <w:snapToGrid w:val="0"/>
              <w:spacing w:line="240" w:lineRule="auto"/>
              <w:ind w:firstLine="315" w:firstLineChars="15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8</w:t>
            </w:r>
          </w:p>
        </w:tc>
        <w:tc>
          <w:tcPr>
            <w:tcW w:w="412" w:type="pct"/>
            <w:vMerge w:val="continue"/>
            <w:vAlign w:val="center"/>
          </w:tcPr>
          <w:p w14:paraId="6112DE98">
            <w:pPr>
              <w:snapToGrid w:val="0"/>
              <w:spacing w:line="240" w:lineRule="auto"/>
              <w:ind w:firstLine="0" w:firstLineChars="0"/>
              <w:rPr>
                <w:rFonts w:hint="eastAsia" w:cs="Times New Roman" w:asciiTheme="minorEastAsia" w:hAnsiTheme="minorEastAsia"/>
                <w:bCs/>
                <w:szCs w:val="21"/>
                <w:highlight w:val="none"/>
              </w:rPr>
            </w:pPr>
          </w:p>
        </w:tc>
        <w:tc>
          <w:tcPr>
            <w:tcW w:w="449" w:type="pct"/>
            <w:vMerge w:val="continue"/>
            <w:vAlign w:val="center"/>
          </w:tcPr>
          <w:p w14:paraId="30625B13">
            <w:pPr>
              <w:snapToGrid w:val="0"/>
              <w:spacing w:line="240" w:lineRule="auto"/>
              <w:ind w:firstLine="0" w:firstLineChars="0"/>
              <w:rPr>
                <w:rFonts w:hint="eastAsia" w:cs="Times New Roman" w:asciiTheme="minorEastAsia" w:hAnsiTheme="minorEastAsia"/>
                <w:bCs/>
                <w:szCs w:val="21"/>
                <w:highlight w:val="none"/>
              </w:rPr>
            </w:pPr>
          </w:p>
        </w:tc>
        <w:tc>
          <w:tcPr>
            <w:tcW w:w="580" w:type="pct"/>
            <w:vAlign w:val="center"/>
          </w:tcPr>
          <w:p w14:paraId="77AB7551">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服务质量的控制与管理</w:t>
            </w:r>
          </w:p>
        </w:tc>
        <w:tc>
          <w:tcPr>
            <w:tcW w:w="349" w:type="pct"/>
            <w:gridSpan w:val="2"/>
            <w:vAlign w:val="center"/>
          </w:tcPr>
          <w:p w14:paraId="4BE9762D">
            <w:pPr>
              <w:snapToGrid w:val="0"/>
              <w:spacing w:line="240" w:lineRule="auto"/>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5</w:t>
            </w:r>
          </w:p>
        </w:tc>
        <w:tc>
          <w:tcPr>
            <w:tcW w:w="2797" w:type="pct"/>
            <w:vAlign w:val="center"/>
          </w:tcPr>
          <w:p w14:paraId="520EFBBE">
            <w:pPr>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质量管理措施科学、全面、合理、有效，得5分；</w:t>
            </w:r>
          </w:p>
          <w:p w14:paraId="7AB3B250">
            <w:pPr>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质量管理措施较合理、较有效，得3分；</w:t>
            </w:r>
          </w:p>
          <w:p w14:paraId="0DC471D1">
            <w:pPr>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质量管理措施不合理，得0分。</w:t>
            </w:r>
          </w:p>
        </w:tc>
      </w:tr>
      <w:tr w14:paraId="2307A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413" w:type="pct"/>
            <w:vAlign w:val="center"/>
          </w:tcPr>
          <w:p w14:paraId="66278A44">
            <w:pPr>
              <w:snapToGrid w:val="0"/>
              <w:spacing w:line="240" w:lineRule="auto"/>
              <w:ind w:firstLine="315" w:firstLineChars="15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9</w:t>
            </w:r>
          </w:p>
        </w:tc>
        <w:tc>
          <w:tcPr>
            <w:tcW w:w="412" w:type="pct"/>
            <w:vMerge w:val="continue"/>
            <w:vAlign w:val="center"/>
          </w:tcPr>
          <w:p w14:paraId="63A07164">
            <w:pPr>
              <w:snapToGrid w:val="0"/>
              <w:spacing w:line="240" w:lineRule="auto"/>
              <w:ind w:firstLine="0" w:firstLineChars="0"/>
              <w:rPr>
                <w:rFonts w:hint="eastAsia" w:cs="Times New Roman" w:asciiTheme="minorEastAsia" w:hAnsiTheme="minorEastAsia"/>
                <w:bCs/>
                <w:szCs w:val="21"/>
                <w:highlight w:val="none"/>
              </w:rPr>
            </w:pPr>
          </w:p>
        </w:tc>
        <w:tc>
          <w:tcPr>
            <w:tcW w:w="449" w:type="pct"/>
            <w:vMerge w:val="continue"/>
            <w:vAlign w:val="center"/>
          </w:tcPr>
          <w:p w14:paraId="2DE9F2B0">
            <w:pPr>
              <w:snapToGrid w:val="0"/>
              <w:spacing w:line="240" w:lineRule="auto"/>
              <w:ind w:firstLine="0" w:firstLineChars="0"/>
              <w:rPr>
                <w:rFonts w:hint="eastAsia" w:cs="Times New Roman" w:asciiTheme="minorEastAsia" w:hAnsiTheme="minorEastAsia"/>
                <w:bCs/>
                <w:szCs w:val="21"/>
                <w:highlight w:val="none"/>
              </w:rPr>
            </w:pPr>
          </w:p>
        </w:tc>
        <w:tc>
          <w:tcPr>
            <w:tcW w:w="580" w:type="pct"/>
            <w:vAlign w:val="center"/>
          </w:tcPr>
          <w:p w14:paraId="0AC15B1F">
            <w:pPr>
              <w:snapToGrid w:val="0"/>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服务进度的控制及管理</w:t>
            </w:r>
          </w:p>
        </w:tc>
        <w:tc>
          <w:tcPr>
            <w:tcW w:w="349" w:type="pct"/>
            <w:gridSpan w:val="2"/>
            <w:vAlign w:val="center"/>
          </w:tcPr>
          <w:p w14:paraId="52424437">
            <w:pPr>
              <w:snapToGrid w:val="0"/>
              <w:spacing w:line="240" w:lineRule="auto"/>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5</w:t>
            </w:r>
          </w:p>
        </w:tc>
        <w:tc>
          <w:tcPr>
            <w:tcW w:w="2797" w:type="pct"/>
            <w:vAlign w:val="center"/>
          </w:tcPr>
          <w:p w14:paraId="7D907079">
            <w:pPr>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进度管理措施科学、积极、合理、有效，得5分；</w:t>
            </w:r>
          </w:p>
          <w:p w14:paraId="378E3450">
            <w:pPr>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进度管理措施较合理、较有效，得3分；</w:t>
            </w:r>
          </w:p>
          <w:p w14:paraId="34C80C02">
            <w:pPr>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进度管理措施不合理，可行性较差，不满足项目需要，得0分。</w:t>
            </w:r>
          </w:p>
        </w:tc>
      </w:tr>
      <w:tr w14:paraId="3E50C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413" w:type="pct"/>
            <w:vAlign w:val="center"/>
          </w:tcPr>
          <w:p w14:paraId="60B245AB">
            <w:pPr>
              <w:snapToGrid w:val="0"/>
              <w:spacing w:line="240" w:lineRule="auto"/>
              <w:ind w:firstLine="210" w:firstLineChars="10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10</w:t>
            </w:r>
          </w:p>
        </w:tc>
        <w:tc>
          <w:tcPr>
            <w:tcW w:w="412" w:type="pct"/>
            <w:vMerge w:val="continue"/>
            <w:vAlign w:val="center"/>
          </w:tcPr>
          <w:p w14:paraId="273E7187">
            <w:pPr>
              <w:snapToGrid w:val="0"/>
              <w:spacing w:line="240" w:lineRule="auto"/>
              <w:ind w:firstLine="0" w:firstLineChars="0"/>
              <w:rPr>
                <w:rFonts w:hint="eastAsia" w:cs="Times New Roman" w:asciiTheme="minorEastAsia" w:hAnsiTheme="minorEastAsia"/>
                <w:bCs/>
                <w:szCs w:val="21"/>
                <w:highlight w:val="none"/>
              </w:rPr>
            </w:pPr>
          </w:p>
        </w:tc>
        <w:tc>
          <w:tcPr>
            <w:tcW w:w="449" w:type="pct"/>
            <w:vMerge w:val="continue"/>
            <w:vAlign w:val="center"/>
          </w:tcPr>
          <w:p w14:paraId="27EEF453">
            <w:pPr>
              <w:snapToGrid w:val="0"/>
              <w:spacing w:line="240" w:lineRule="auto"/>
              <w:ind w:firstLine="0" w:firstLineChars="0"/>
              <w:rPr>
                <w:rFonts w:hint="eastAsia" w:cs="Times New Roman" w:asciiTheme="minorEastAsia" w:hAnsiTheme="minorEastAsia"/>
                <w:bCs/>
                <w:szCs w:val="21"/>
                <w:highlight w:val="none"/>
              </w:rPr>
            </w:pPr>
          </w:p>
        </w:tc>
        <w:tc>
          <w:tcPr>
            <w:tcW w:w="580" w:type="pct"/>
            <w:vMerge w:val="restart"/>
            <w:vAlign w:val="center"/>
          </w:tcPr>
          <w:p w14:paraId="6E762AF5">
            <w:pPr>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项目合理化建议及服务承诺</w:t>
            </w:r>
          </w:p>
        </w:tc>
        <w:tc>
          <w:tcPr>
            <w:tcW w:w="349" w:type="pct"/>
            <w:gridSpan w:val="2"/>
            <w:vMerge w:val="restart"/>
            <w:vAlign w:val="center"/>
          </w:tcPr>
          <w:p w14:paraId="35577802">
            <w:pPr>
              <w:spacing w:line="240" w:lineRule="auto"/>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7</w:t>
            </w:r>
          </w:p>
        </w:tc>
        <w:tc>
          <w:tcPr>
            <w:tcW w:w="2797" w:type="pct"/>
            <w:vMerge w:val="restart"/>
            <w:vAlign w:val="center"/>
          </w:tcPr>
          <w:p w14:paraId="3D2AA920">
            <w:pPr>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科学、全面、合理、有效，得7分；</w:t>
            </w:r>
          </w:p>
          <w:p w14:paraId="5EE92304">
            <w:pPr>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较合理、较有效，得5分；</w:t>
            </w:r>
          </w:p>
          <w:p w14:paraId="593ED812">
            <w:pPr>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基本合理但有欠缺，得3分；</w:t>
            </w:r>
          </w:p>
          <w:p w14:paraId="28684264">
            <w:pPr>
              <w:spacing w:line="240" w:lineRule="auto"/>
              <w:ind w:firstLine="0" w:firstLineChars="0"/>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不合理或未提供，得0分。</w:t>
            </w:r>
          </w:p>
        </w:tc>
      </w:tr>
      <w:tr w14:paraId="3882B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413" w:type="pct"/>
            <w:vAlign w:val="center"/>
          </w:tcPr>
          <w:p w14:paraId="38E20308">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11</w:t>
            </w:r>
          </w:p>
        </w:tc>
        <w:tc>
          <w:tcPr>
            <w:tcW w:w="412" w:type="pct"/>
            <w:vMerge w:val="continue"/>
            <w:vAlign w:val="center"/>
          </w:tcPr>
          <w:p w14:paraId="12D86FF9">
            <w:pPr>
              <w:snapToGrid w:val="0"/>
              <w:spacing w:line="360" w:lineRule="exact"/>
              <w:ind w:firstLine="0" w:firstLineChars="0"/>
              <w:rPr>
                <w:rFonts w:hint="eastAsia" w:cs="Times New Roman" w:asciiTheme="minorEastAsia" w:hAnsiTheme="minorEastAsia"/>
                <w:bCs/>
                <w:szCs w:val="21"/>
                <w:highlight w:val="none"/>
              </w:rPr>
            </w:pPr>
          </w:p>
        </w:tc>
        <w:tc>
          <w:tcPr>
            <w:tcW w:w="449" w:type="pct"/>
            <w:vMerge w:val="continue"/>
            <w:vAlign w:val="center"/>
          </w:tcPr>
          <w:p w14:paraId="09218835">
            <w:pPr>
              <w:snapToGrid w:val="0"/>
              <w:spacing w:line="360" w:lineRule="exact"/>
              <w:ind w:firstLine="0" w:firstLineChars="0"/>
              <w:jc w:val="center"/>
              <w:rPr>
                <w:rFonts w:hint="eastAsia" w:cs="Times New Roman" w:asciiTheme="minorEastAsia" w:hAnsiTheme="minorEastAsia"/>
                <w:bCs/>
                <w:szCs w:val="21"/>
                <w:highlight w:val="none"/>
              </w:rPr>
            </w:pPr>
          </w:p>
        </w:tc>
        <w:tc>
          <w:tcPr>
            <w:tcW w:w="580" w:type="pct"/>
            <w:vMerge w:val="continue"/>
            <w:vAlign w:val="center"/>
          </w:tcPr>
          <w:p w14:paraId="40EF7590">
            <w:pPr>
              <w:snapToGrid w:val="0"/>
              <w:spacing w:line="240" w:lineRule="auto"/>
              <w:ind w:firstLine="0" w:firstLineChars="0"/>
              <w:jc w:val="left"/>
              <w:rPr>
                <w:rFonts w:hint="eastAsia" w:cs="Times New Roman" w:asciiTheme="minorEastAsia" w:hAnsiTheme="minorEastAsia"/>
                <w:bCs/>
                <w:szCs w:val="21"/>
                <w:highlight w:val="none"/>
              </w:rPr>
            </w:pPr>
          </w:p>
        </w:tc>
        <w:tc>
          <w:tcPr>
            <w:tcW w:w="349" w:type="pct"/>
            <w:gridSpan w:val="2"/>
            <w:vMerge w:val="continue"/>
            <w:vAlign w:val="center"/>
          </w:tcPr>
          <w:p w14:paraId="5E662D99">
            <w:pPr>
              <w:snapToGrid w:val="0"/>
              <w:spacing w:line="360" w:lineRule="exact"/>
              <w:ind w:firstLine="0" w:firstLineChars="0"/>
              <w:jc w:val="center"/>
              <w:rPr>
                <w:rFonts w:hint="eastAsia" w:cs="Times New Roman" w:asciiTheme="minorEastAsia" w:hAnsiTheme="minorEastAsia"/>
                <w:bCs/>
                <w:szCs w:val="21"/>
                <w:highlight w:val="none"/>
              </w:rPr>
            </w:pPr>
          </w:p>
        </w:tc>
        <w:tc>
          <w:tcPr>
            <w:tcW w:w="2797" w:type="pct"/>
            <w:vMerge w:val="continue"/>
            <w:vAlign w:val="center"/>
          </w:tcPr>
          <w:p w14:paraId="04A6F2C8">
            <w:pPr>
              <w:snapToGrid w:val="0"/>
              <w:spacing w:line="240" w:lineRule="auto"/>
              <w:ind w:firstLine="0" w:firstLineChars="0"/>
              <w:rPr>
                <w:rFonts w:hint="eastAsia" w:cs="Times New Roman" w:asciiTheme="minorEastAsia" w:hAnsiTheme="minorEastAsia"/>
                <w:bCs/>
                <w:szCs w:val="21"/>
                <w:highlight w:val="none"/>
              </w:rPr>
            </w:pPr>
          </w:p>
        </w:tc>
      </w:tr>
      <w:tr w14:paraId="3DC39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413" w:type="pct"/>
            <w:vAlign w:val="center"/>
          </w:tcPr>
          <w:p w14:paraId="1185D8AE">
            <w:pPr>
              <w:snapToGrid w:val="0"/>
              <w:spacing w:line="360" w:lineRule="exact"/>
              <w:ind w:firstLine="0" w:firstLineChars="0"/>
              <w:jc w:val="center"/>
              <w:rPr>
                <w:rFonts w:hint="eastAsia" w:cs="Times New Roman" w:asciiTheme="minorEastAsia" w:hAnsiTheme="minorEastAsia"/>
                <w:bCs/>
                <w:szCs w:val="21"/>
                <w:highlight w:val="none"/>
              </w:rPr>
            </w:pPr>
          </w:p>
        </w:tc>
        <w:tc>
          <w:tcPr>
            <w:tcW w:w="412" w:type="pct"/>
            <w:vAlign w:val="center"/>
          </w:tcPr>
          <w:p w14:paraId="57292B12">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总分</w:t>
            </w:r>
          </w:p>
        </w:tc>
        <w:tc>
          <w:tcPr>
            <w:tcW w:w="449" w:type="pct"/>
            <w:vAlign w:val="center"/>
          </w:tcPr>
          <w:p w14:paraId="57800690">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100</w:t>
            </w:r>
          </w:p>
        </w:tc>
        <w:tc>
          <w:tcPr>
            <w:tcW w:w="580" w:type="pct"/>
            <w:vAlign w:val="center"/>
          </w:tcPr>
          <w:p w14:paraId="625E3D62">
            <w:pPr>
              <w:snapToGrid w:val="0"/>
              <w:spacing w:line="360" w:lineRule="exact"/>
              <w:ind w:firstLine="0" w:firstLineChars="0"/>
              <w:jc w:val="center"/>
              <w:rPr>
                <w:rFonts w:hint="eastAsia" w:cs="Times New Roman" w:asciiTheme="minorEastAsia" w:hAnsiTheme="minorEastAsia"/>
                <w:bCs/>
                <w:szCs w:val="21"/>
                <w:highlight w:val="none"/>
              </w:rPr>
            </w:pPr>
          </w:p>
        </w:tc>
        <w:tc>
          <w:tcPr>
            <w:tcW w:w="349" w:type="pct"/>
            <w:gridSpan w:val="2"/>
            <w:vAlign w:val="center"/>
          </w:tcPr>
          <w:p w14:paraId="4F98BB44">
            <w:pPr>
              <w:snapToGrid w:val="0"/>
              <w:spacing w:line="360" w:lineRule="exact"/>
              <w:ind w:firstLine="0" w:firstLineChars="0"/>
              <w:jc w:val="center"/>
              <w:rPr>
                <w:rFonts w:hint="eastAsia" w:cs="Times New Roman" w:asciiTheme="minorEastAsia" w:hAnsiTheme="minorEastAsia"/>
                <w:bCs/>
                <w:szCs w:val="21"/>
                <w:highlight w:val="none"/>
              </w:rPr>
            </w:pPr>
            <w:r>
              <w:rPr>
                <w:rFonts w:hint="eastAsia" w:cs="Times New Roman" w:asciiTheme="minorEastAsia" w:hAnsiTheme="minorEastAsia"/>
                <w:bCs/>
                <w:szCs w:val="21"/>
                <w:highlight w:val="none"/>
              </w:rPr>
              <w:t>100</w:t>
            </w:r>
          </w:p>
        </w:tc>
        <w:tc>
          <w:tcPr>
            <w:tcW w:w="2797" w:type="pct"/>
            <w:vAlign w:val="center"/>
          </w:tcPr>
          <w:p w14:paraId="5DA81735">
            <w:pPr>
              <w:snapToGrid w:val="0"/>
              <w:spacing w:line="360" w:lineRule="exact"/>
              <w:ind w:firstLine="0" w:firstLineChars="0"/>
              <w:jc w:val="center"/>
              <w:rPr>
                <w:rFonts w:hint="eastAsia" w:cs="Times New Roman" w:asciiTheme="minorEastAsia" w:hAnsiTheme="minorEastAsia"/>
                <w:bCs/>
                <w:szCs w:val="21"/>
                <w:highlight w:val="none"/>
              </w:rPr>
            </w:pPr>
          </w:p>
        </w:tc>
      </w:tr>
    </w:tbl>
    <w:p w14:paraId="17D6FF9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ighlight w:val="none"/>
          <w:lang w:val="en-US" w:eastAsia="zh-CN"/>
        </w:rPr>
      </w:pPr>
    </w:p>
    <w:p w14:paraId="7B203D99">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highlight w:val="none"/>
          <w:lang w:val="en-US" w:eastAsia="zh-CN"/>
        </w:rPr>
        <w:t>五、递交文件及开启</w:t>
      </w:r>
    </w:p>
    <w:p w14:paraId="1C132146">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bCs/>
          <w:szCs w:val="21"/>
          <w:highlight w:val="none"/>
        </w:rPr>
      </w:pPr>
      <w:r>
        <w:rPr>
          <w:rFonts w:hint="eastAsia" w:ascii="宋体" w:hAnsi="宋体"/>
          <w:bCs/>
          <w:szCs w:val="21"/>
          <w:highlight w:val="none"/>
          <w:lang w:val="en-US" w:eastAsia="zh-CN"/>
        </w:rPr>
        <w:t>响应</w:t>
      </w:r>
      <w:r>
        <w:rPr>
          <w:rFonts w:hint="eastAsia" w:ascii="宋体" w:hAnsi="宋体"/>
          <w:bCs/>
          <w:szCs w:val="21"/>
          <w:highlight w:val="none"/>
        </w:rPr>
        <w:t>文件递交时间：</w:t>
      </w:r>
      <w:bookmarkStart w:id="0" w:name="OLE_LINK5"/>
      <w:r>
        <w:rPr>
          <w:rFonts w:hint="eastAsia" w:ascii="宋体" w:hAnsi="宋体"/>
          <w:bCs/>
          <w:szCs w:val="21"/>
          <w:highlight w:val="none"/>
        </w:rPr>
        <w:t>2025年</w:t>
      </w:r>
      <w:r>
        <w:rPr>
          <w:rFonts w:hint="eastAsia" w:ascii="宋体" w:hAnsi="宋体"/>
          <w:bCs/>
          <w:szCs w:val="21"/>
          <w:highlight w:val="none"/>
          <w:lang w:val="en-US" w:eastAsia="zh-CN"/>
        </w:rPr>
        <w:t>4</w:t>
      </w:r>
      <w:r>
        <w:rPr>
          <w:rFonts w:hint="eastAsia" w:ascii="宋体" w:hAnsi="宋体"/>
          <w:bCs/>
          <w:szCs w:val="21"/>
          <w:highlight w:val="none"/>
        </w:rPr>
        <w:t>月</w:t>
      </w:r>
      <w:r>
        <w:rPr>
          <w:rFonts w:hint="eastAsia" w:ascii="宋体" w:hAnsi="宋体"/>
          <w:bCs/>
          <w:szCs w:val="21"/>
          <w:highlight w:val="none"/>
          <w:lang w:val="en-US" w:eastAsia="zh-CN"/>
        </w:rPr>
        <w:t>10</w:t>
      </w:r>
      <w:r>
        <w:rPr>
          <w:rFonts w:hint="eastAsia" w:ascii="宋体" w:hAnsi="宋体"/>
          <w:bCs/>
          <w:szCs w:val="21"/>
          <w:highlight w:val="none"/>
        </w:rPr>
        <w:t>日</w:t>
      </w:r>
      <w:bookmarkEnd w:id="0"/>
      <w:r>
        <w:rPr>
          <w:rFonts w:hint="eastAsia" w:ascii="宋体" w:hAnsi="宋体"/>
          <w:bCs/>
          <w:szCs w:val="21"/>
          <w:highlight w:val="none"/>
        </w:rPr>
        <w:t>下午13:00</w:t>
      </w:r>
      <w:r>
        <w:rPr>
          <w:rFonts w:hint="eastAsia" w:ascii="宋体" w:hAnsi="宋体"/>
          <w:bCs/>
          <w:szCs w:val="21"/>
          <w:highlight w:val="none"/>
          <w:lang w:val="en-US" w:eastAsia="zh-CN"/>
        </w:rPr>
        <w:t>分整至</w:t>
      </w:r>
      <w:r>
        <w:rPr>
          <w:rFonts w:hint="eastAsia" w:ascii="宋体" w:hAnsi="宋体"/>
          <w:bCs/>
          <w:szCs w:val="21"/>
          <w:highlight w:val="none"/>
        </w:rPr>
        <w:t>13:30</w:t>
      </w:r>
      <w:r>
        <w:rPr>
          <w:rFonts w:hint="eastAsia" w:ascii="宋体" w:hAnsi="宋体"/>
          <w:bCs/>
          <w:szCs w:val="21"/>
          <w:highlight w:val="none"/>
          <w:lang w:val="en-US" w:eastAsia="zh-CN"/>
        </w:rPr>
        <w:t>分整</w:t>
      </w:r>
      <w:r>
        <w:rPr>
          <w:rFonts w:hint="eastAsia" w:ascii="宋体" w:hAnsi="宋体"/>
          <w:bCs/>
          <w:szCs w:val="21"/>
          <w:highlight w:val="none"/>
          <w:lang w:eastAsia="zh-CN"/>
        </w:rPr>
        <w:t>（</w:t>
      </w:r>
      <w:r>
        <w:rPr>
          <w:rFonts w:hint="eastAsia" w:ascii="宋体" w:hAnsi="宋体"/>
          <w:bCs/>
          <w:szCs w:val="21"/>
          <w:highlight w:val="none"/>
          <w:lang w:val="en-US" w:eastAsia="zh-CN"/>
        </w:rPr>
        <w:t>北京时间</w:t>
      </w:r>
      <w:r>
        <w:rPr>
          <w:rFonts w:hint="eastAsia" w:ascii="宋体" w:hAnsi="宋体"/>
          <w:bCs/>
          <w:szCs w:val="21"/>
          <w:highlight w:val="none"/>
          <w:lang w:eastAsia="zh-CN"/>
        </w:rPr>
        <w:t>）</w:t>
      </w:r>
    </w:p>
    <w:p w14:paraId="77D86A00">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bCs/>
          <w:szCs w:val="21"/>
          <w:highlight w:val="none"/>
        </w:rPr>
      </w:pPr>
      <w:r>
        <w:rPr>
          <w:rFonts w:hint="eastAsia" w:ascii="宋体" w:hAnsi="宋体"/>
          <w:bCs/>
          <w:szCs w:val="21"/>
          <w:highlight w:val="none"/>
          <w:lang w:val="en-US" w:eastAsia="zh-CN"/>
        </w:rPr>
        <w:t>响应文件</w:t>
      </w:r>
      <w:r>
        <w:rPr>
          <w:rFonts w:hint="eastAsia" w:ascii="宋体" w:hAnsi="宋体"/>
          <w:bCs/>
          <w:szCs w:val="21"/>
          <w:highlight w:val="none"/>
        </w:rPr>
        <w:t>递交地点：北京市西城区西直门外大街6号中仪大厦</w:t>
      </w:r>
      <w:r>
        <w:rPr>
          <w:rFonts w:hint="eastAsia" w:ascii="宋体" w:hAnsi="宋体"/>
          <w:bCs/>
          <w:szCs w:val="21"/>
          <w:highlight w:val="none"/>
        </w:rPr>
        <w:t>10层</w:t>
      </w:r>
      <w:r>
        <w:rPr>
          <w:rFonts w:hint="eastAsia" w:ascii="宋体" w:hAnsi="宋体"/>
          <w:bCs/>
          <w:szCs w:val="21"/>
          <w:highlight w:val="none"/>
          <w:lang w:val="en-US" w:eastAsia="zh-CN"/>
        </w:rPr>
        <w:t>1002</w:t>
      </w:r>
      <w:r>
        <w:rPr>
          <w:rFonts w:hint="eastAsia" w:ascii="宋体" w:hAnsi="宋体"/>
          <w:bCs/>
          <w:szCs w:val="21"/>
          <w:highlight w:val="none"/>
        </w:rPr>
        <w:t>会议室</w:t>
      </w:r>
    </w:p>
    <w:p w14:paraId="27551E6F">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bCs/>
          <w:szCs w:val="21"/>
          <w:highlight w:val="none"/>
        </w:rPr>
      </w:pPr>
      <w:r>
        <w:rPr>
          <w:rFonts w:hint="eastAsia" w:ascii="宋体" w:hAnsi="宋体"/>
          <w:bCs/>
          <w:szCs w:val="21"/>
          <w:highlight w:val="none"/>
          <w:lang w:val="en-US" w:eastAsia="zh-CN"/>
        </w:rPr>
        <w:t>开启时间</w:t>
      </w:r>
      <w:r>
        <w:rPr>
          <w:rFonts w:hint="eastAsia" w:ascii="宋体" w:hAnsi="宋体"/>
          <w:bCs/>
          <w:szCs w:val="21"/>
          <w:highlight w:val="none"/>
        </w:rPr>
        <w:t>：</w:t>
      </w:r>
      <w:r>
        <w:rPr>
          <w:rFonts w:hint="eastAsia" w:ascii="宋体" w:hAnsi="宋体"/>
          <w:bCs/>
          <w:szCs w:val="21"/>
          <w:highlight w:val="none"/>
        </w:rPr>
        <w:t>2025年</w:t>
      </w:r>
      <w:r>
        <w:rPr>
          <w:rFonts w:hint="eastAsia" w:ascii="宋体" w:hAnsi="宋体"/>
          <w:bCs/>
          <w:szCs w:val="21"/>
          <w:highlight w:val="none"/>
          <w:lang w:val="en-US" w:eastAsia="zh-CN"/>
        </w:rPr>
        <w:t>4</w:t>
      </w:r>
      <w:r>
        <w:rPr>
          <w:rFonts w:hint="eastAsia" w:ascii="宋体" w:hAnsi="宋体"/>
          <w:bCs/>
          <w:szCs w:val="21"/>
          <w:highlight w:val="none"/>
        </w:rPr>
        <w:t>月</w:t>
      </w:r>
      <w:r>
        <w:rPr>
          <w:rFonts w:hint="eastAsia" w:ascii="宋体" w:hAnsi="宋体"/>
          <w:bCs/>
          <w:szCs w:val="21"/>
          <w:highlight w:val="none"/>
          <w:lang w:val="en-US" w:eastAsia="zh-CN"/>
        </w:rPr>
        <w:t>10</w:t>
      </w:r>
      <w:r>
        <w:rPr>
          <w:rFonts w:hint="eastAsia" w:ascii="宋体" w:hAnsi="宋体"/>
          <w:bCs/>
          <w:szCs w:val="21"/>
          <w:highlight w:val="none"/>
        </w:rPr>
        <w:t>日 下午14:00</w:t>
      </w:r>
    </w:p>
    <w:p w14:paraId="6A544C3F">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highlight w:val="none"/>
          <w:lang w:val="en-US" w:eastAsia="zh-CN"/>
        </w:rPr>
      </w:pPr>
      <w:r>
        <w:rPr>
          <w:rFonts w:hint="eastAsia" w:ascii="宋体" w:hAnsi="宋体"/>
          <w:bCs/>
          <w:szCs w:val="21"/>
          <w:highlight w:val="none"/>
          <w:lang w:val="en-US" w:eastAsia="zh-CN"/>
        </w:rPr>
        <w:t>开启</w:t>
      </w:r>
      <w:r>
        <w:rPr>
          <w:rFonts w:hint="eastAsia" w:ascii="宋体" w:hAnsi="宋体"/>
          <w:bCs/>
          <w:szCs w:val="21"/>
          <w:highlight w:val="none"/>
        </w:rPr>
        <w:t>地点：北京市西城区西直门外大街6号中仪大厦</w:t>
      </w:r>
      <w:r>
        <w:rPr>
          <w:rFonts w:hint="eastAsia" w:ascii="宋体" w:hAnsi="宋体"/>
          <w:bCs/>
          <w:szCs w:val="21"/>
          <w:highlight w:val="none"/>
        </w:rPr>
        <w:t>10层</w:t>
      </w:r>
      <w:r>
        <w:rPr>
          <w:rFonts w:hint="eastAsia" w:ascii="宋体" w:hAnsi="宋体"/>
          <w:bCs/>
          <w:szCs w:val="21"/>
          <w:highlight w:val="none"/>
          <w:lang w:val="en-US" w:eastAsia="zh-CN"/>
        </w:rPr>
        <w:t>1002</w:t>
      </w:r>
      <w:r>
        <w:rPr>
          <w:rFonts w:hint="eastAsia" w:ascii="宋体" w:hAnsi="宋体"/>
          <w:bCs/>
          <w:szCs w:val="21"/>
          <w:highlight w:val="none"/>
        </w:rPr>
        <w:t>会议室</w:t>
      </w:r>
    </w:p>
    <w:p w14:paraId="7514AB93">
      <w:pPr>
        <w:keepNext w:val="0"/>
        <w:keepLines w:val="0"/>
        <w:pageBreakBefore w:val="0"/>
        <w:widowControl/>
        <w:numPr>
          <w:ilvl w:val="0"/>
          <w:numId w:val="9"/>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Times New Roman"/>
          <w:bCs/>
          <w:szCs w:val="21"/>
          <w:highlight w:val="none"/>
          <w:lang w:eastAsia="zh-CN"/>
        </w:rPr>
        <w:sectPr>
          <w:footerReference r:id="rId5" w:type="default"/>
          <w:pgSz w:w="11906" w:h="16838"/>
          <w:pgMar w:top="1344" w:right="1344" w:bottom="1344" w:left="134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highlight w:val="none"/>
          <w:lang w:val="en-US" w:eastAsia="zh-CN"/>
        </w:rPr>
        <w:t>注意事项：请参加公司被授权人于文件内</w:t>
      </w:r>
      <w:bookmarkStart w:id="1" w:name="_GoBack"/>
      <w:bookmarkEnd w:id="1"/>
      <w:r>
        <w:rPr>
          <w:rFonts w:hint="eastAsia"/>
          <w:highlight w:val="none"/>
          <w:lang w:val="en-US" w:eastAsia="zh-CN"/>
        </w:rPr>
        <w:t>注明的时间到场。</w:t>
      </w:r>
    </w:p>
    <w:tbl>
      <w:tblPr>
        <w:tblW w:w="133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36"/>
        <w:gridCol w:w="2036"/>
        <w:gridCol w:w="4387"/>
        <w:gridCol w:w="1354"/>
        <w:gridCol w:w="1500"/>
        <w:gridCol w:w="1125"/>
        <w:gridCol w:w="1904"/>
      </w:tblGrid>
      <w:tr w14:paraId="44A42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jc w:val="center"/>
        </w:trPr>
        <w:tc>
          <w:tcPr>
            <w:tcW w:w="13342" w:type="dxa"/>
            <w:gridSpan w:val="7"/>
            <w:tcBorders>
              <w:top w:val="nil"/>
              <w:left w:val="nil"/>
              <w:bottom w:val="nil"/>
              <w:right w:val="nil"/>
            </w:tcBorders>
            <w:shd w:val="clear"/>
            <w:vAlign w:val="center"/>
          </w:tcPr>
          <w:p w14:paraId="190BF8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bdr w:val="none" w:color="auto" w:sz="0" w:space="0"/>
                <w:lang w:val="en-US" w:eastAsia="zh-CN" w:bidi="ar"/>
              </w:rPr>
              <w:t>北京大学人民医院通州院区门厅改造建设工程-检测清单</w:t>
            </w:r>
          </w:p>
        </w:tc>
      </w:tr>
      <w:tr w14:paraId="55896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36" w:type="dxa"/>
            <w:tcBorders>
              <w:top w:val="single" w:color="000000" w:sz="4" w:space="0"/>
              <w:left w:val="single" w:color="000000" w:sz="4" w:space="0"/>
              <w:bottom w:val="single" w:color="000000" w:sz="4" w:space="0"/>
              <w:right w:val="single" w:color="000000" w:sz="4" w:space="0"/>
            </w:tcBorders>
            <w:shd w:val="clear"/>
            <w:vAlign w:val="center"/>
          </w:tcPr>
          <w:p w14:paraId="66CA81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序号</w:t>
            </w:r>
          </w:p>
        </w:tc>
        <w:tc>
          <w:tcPr>
            <w:tcW w:w="2036" w:type="dxa"/>
            <w:tcBorders>
              <w:top w:val="single" w:color="000000" w:sz="4" w:space="0"/>
              <w:left w:val="single" w:color="000000" w:sz="4" w:space="0"/>
              <w:bottom w:val="single" w:color="000000" w:sz="4" w:space="0"/>
              <w:right w:val="single" w:color="000000" w:sz="4" w:space="0"/>
            </w:tcBorders>
            <w:shd w:val="clear"/>
            <w:vAlign w:val="center"/>
          </w:tcPr>
          <w:p w14:paraId="049155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材料名称</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410916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检测项目</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532BCB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单位</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3E01F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检测数量</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E07BB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单价</w:t>
            </w:r>
          </w:p>
        </w:tc>
        <w:tc>
          <w:tcPr>
            <w:tcW w:w="1904" w:type="dxa"/>
            <w:tcBorders>
              <w:top w:val="single" w:color="000000" w:sz="4" w:space="0"/>
              <w:left w:val="single" w:color="000000" w:sz="4" w:space="0"/>
              <w:bottom w:val="single" w:color="000000" w:sz="4" w:space="0"/>
              <w:right w:val="single" w:color="000000" w:sz="4" w:space="0"/>
            </w:tcBorders>
            <w:shd w:val="clear"/>
            <w:vAlign w:val="center"/>
          </w:tcPr>
          <w:p w14:paraId="592385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备注</w:t>
            </w:r>
          </w:p>
        </w:tc>
      </w:tr>
      <w:tr w14:paraId="6F6D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5BDB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0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45375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钢筋原材</w:t>
            </w:r>
          </w:p>
        </w:tc>
        <w:tc>
          <w:tcPr>
            <w:tcW w:w="438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205C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拉伸强度、弯曲（必试）</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7C7A77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1BB20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EAB8CD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vAlign w:val="center"/>
          </w:tcPr>
          <w:p w14:paraId="7325C2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＜φ14</w:t>
            </w:r>
          </w:p>
        </w:tc>
      </w:tr>
      <w:tr w14:paraId="63CF3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1F47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4A1C8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ECEBA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7D0BAE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504F6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207C02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vAlign w:val="center"/>
          </w:tcPr>
          <w:p w14:paraId="6F8A6A8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φ16~20</w:t>
            </w:r>
          </w:p>
        </w:tc>
      </w:tr>
      <w:tr w14:paraId="14BA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703D1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7E5B4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FC839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13AE9C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7E15F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2D8EE6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vAlign w:val="center"/>
          </w:tcPr>
          <w:p w14:paraId="395416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φ22~28</w:t>
            </w:r>
          </w:p>
        </w:tc>
      </w:tr>
      <w:tr w14:paraId="227F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7AAEE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31022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97DFA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297919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6BDC3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A2A17A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vAlign w:val="center"/>
          </w:tcPr>
          <w:p w14:paraId="630633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φ32~36</w:t>
            </w:r>
          </w:p>
        </w:tc>
      </w:tr>
      <w:tr w14:paraId="62948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100B7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4FAEF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3F26A3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反向弯曲</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301B33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D165A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030FFB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4B7905A8">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4F1E1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2114B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48CCB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4F23DA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重量偏差（必试）</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70E8B7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74E72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0635CAD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6BDB8C0A">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1583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D8511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89C78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6B1B38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最大力总伸长率（带肋钢筋必试）</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30B12BB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FF82A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72B0DD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40574AEF">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0724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BC6FC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03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DBADB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型钢</w:t>
            </w:r>
          </w:p>
        </w:tc>
        <w:tc>
          <w:tcPr>
            <w:tcW w:w="4387" w:type="dxa"/>
            <w:tcBorders>
              <w:top w:val="single" w:color="000000" w:sz="4" w:space="0"/>
              <w:left w:val="single" w:color="000000" w:sz="4" w:space="0"/>
              <w:bottom w:val="single" w:color="000000" w:sz="4" w:space="0"/>
              <w:right w:val="single" w:color="000000" w:sz="4" w:space="0"/>
            </w:tcBorders>
            <w:shd w:val="clear"/>
            <w:noWrap/>
            <w:vAlign w:val="center"/>
          </w:tcPr>
          <w:p w14:paraId="5CAAF2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拉伸</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6F1360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70275C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0458C1B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5A238BCA">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0EB50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93AB7F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FA43D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noWrap/>
            <w:vAlign w:val="center"/>
          </w:tcPr>
          <w:p w14:paraId="7E808E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弯曲</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70272F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159CFA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73FEC1E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1D61D7D2">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0B50F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0D818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03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7EBB53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照明开关安装</w:t>
            </w:r>
          </w:p>
        </w:tc>
        <w:tc>
          <w:tcPr>
            <w:tcW w:w="4387" w:type="dxa"/>
            <w:tcBorders>
              <w:top w:val="single" w:color="000000" w:sz="4" w:space="0"/>
              <w:left w:val="single" w:color="000000" w:sz="4" w:space="0"/>
              <w:bottom w:val="single" w:color="000000" w:sz="4" w:space="0"/>
              <w:right w:val="single" w:color="000000" w:sz="4" w:space="0"/>
            </w:tcBorders>
            <w:shd w:val="clear"/>
            <w:noWrap/>
            <w:vAlign w:val="center"/>
          </w:tcPr>
          <w:p w14:paraId="50AA0F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绝缘电阻和电气强度</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09F8762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5DA8F2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998273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75087C7C">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222B7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FC2E1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AF3879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noWrap/>
            <w:vAlign w:val="center"/>
          </w:tcPr>
          <w:p w14:paraId="08429C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爬电距离,电气间隙和穿通密封胶距离</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7A10E3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58B640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42F9394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48176C52">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5519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354E69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2036" w:type="dxa"/>
            <w:tcBorders>
              <w:top w:val="single" w:color="000000" w:sz="4" w:space="0"/>
              <w:left w:val="single" w:color="000000" w:sz="4" w:space="0"/>
              <w:bottom w:val="single" w:color="000000" w:sz="4" w:space="0"/>
              <w:right w:val="single" w:color="000000" w:sz="4" w:space="0"/>
            </w:tcBorders>
            <w:shd w:val="clear"/>
            <w:noWrap/>
            <w:vAlign w:val="center"/>
          </w:tcPr>
          <w:p w14:paraId="01EEEB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插座</w:t>
            </w:r>
          </w:p>
        </w:tc>
        <w:tc>
          <w:tcPr>
            <w:tcW w:w="4387" w:type="dxa"/>
            <w:tcBorders>
              <w:top w:val="single" w:color="000000" w:sz="4" w:space="0"/>
              <w:left w:val="single" w:color="000000" w:sz="4" w:space="0"/>
              <w:bottom w:val="single" w:color="000000" w:sz="4" w:space="0"/>
              <w:right w:val="single" w:color="000000" w:sz="4" w:space="0"/>
            </w:tcBorders>
            <w:shd w:val="clear"/>
            <w:noWrap/>
            <w:vAlign w:val="center"/>
          </w:tcPr>
          <w:p w14:paraId="222FFB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爬电距离,电气间隙和穿通密封胶距离</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7737A1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44C57E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FEB0E8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516CFE23">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16A79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225F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0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FDAC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灯具</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4E129D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谐波含量</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41F538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8604C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866EF3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3CDA4C6E">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591FD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91D2F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7EB4C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2ECB75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光效</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241276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E88C2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B585A0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2BCB0DB0">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186D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5ACE9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3F04F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218273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线路功率因数</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136F92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2F403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4F88EEE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03CA3481">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7E7BC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133E5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C68EB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6051F0D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基本电性能(包括设备功率、功率因数、电压、电流、频率)</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0512B0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2DBC3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96E447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09DB1CD3">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2ADE2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C4584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F4C8E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5D4196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光通量</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3F2FBD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80721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7DB8DF2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3787E652">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246A1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vAlign w:val="center"/>
          </w:tcPr>
          <w:p w14:paraId="0F372A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2036" w:type="dxa"/>
            <w:tcBorders>
              <w:top w:val="single" w:color="000000" w:sz="4" w:space="0"/>
              <w:left w:val="single" w:color="000000" w:sz="4" w:space="0"/>
              <w:bottom w:val="single" w:color="000000" w:sz="4" w:space="0"/>
              <w:right w:val="single" w:color="000000" w:sz="4" w:space="0"/>
            </w:tcBorders>
            <w:shd w:val="clear"/>
            <w:vAlign w:val="center"/>
          </w:tcPr>
          <w:p w14:paraId="79AD7E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电线</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23AA43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截面积，电阻</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7885D6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2D1BA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F8E093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33499278">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61668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vAlign w:val="center"/>
          </w:tcPr>
          <w:p w14:paraId="62CBF1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2036" w:type="dxa"/>
            <w:tcBorders>
              <w:top w:val="single" w:color="000000" w:sz="4" w:space="0"/>
              <w:left w:val="single" w:color="000000" w:sz="4" w:space="0"/>
              <w:bottom w:val="single" w:color="000000" w:sz="4" w:space="0"/>
              <w:right w:val="single" w:color="000000" w:sz="4" w:space="0"/>
            </w:tcBorders>
            <w:shd w:val="clear"/>
            <w:vAlign w:val="center"/>
          </w:tcPr>
          <w:p w14:paraId="7D1329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440D43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截面积，电阻</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32A865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43CC8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5FA532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3A093E15">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195A1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vAlign w:val="center"/>
          </w:tcPr>
          <w:p w14:paraId="44324B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2036" w:type="dxa"/>
            <w:tcBorders>
              <w:top w:val="single" w:color="000000" w:sz="4" w:space="0"/>
              <w:left w:val="single" w:color="000000" w:sz="4" w:space="0"/>
              <w:bottom w:val="single" w:color="000000" w:sz="4" w:space="0"/>
              <w:right w:val="single" w:color="000000" w:sz="4" w:space="0"/>
            </w:tcBorders>
            <w:shd w:val="clear"/>
            <w:vAlign w:val="center"/>
          </w:tcPr>
          <w:p w14:paraId="3559EF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53F615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燃烧</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1A02BC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E74D4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E5469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3543CFEA">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0AB5F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70D6EA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2036" w:type="dxa"/>
            <w:tcBorders>
              <w:top w:val="single" w:color="000000" w:sz="4" w:space="0"/>
              <w:left w:val="single" w:color="000000" w:sz="4" w:space="0"/>
              <w:bottom w:val="single" w:color="000000" w:sz="4" w:space="0"/>
              <w:right w:val="single" w:color="000000" w:sz="4" w:space="0"/>
            </w:tcBorders>
            <w:shd w:val="clear"/>
            <w:noWrap/>
            <w:vAlign w:val="center"/>
          </w:tcPr>
          <w:p w14:paraId="10D05F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铸铁管</w:t>
            </w:r>
          </w:p>
        </w:tc>
        <w:tc>
          <w:tcPr>
            <w:tcW w:w="4387" w:type="dxa"/>
            <w:tcBorders>
              <w:top w:val="single" w:color="000000" w:sz="4" w:space="0"/>
              <w:left w:val="single" w:color="000000" w:sz="4" w:space="0"/>
              <w:bottom w:val="single" w:color="000000" w:sz="4" w:space="0"/>
              <w:right w:val="single" w:color="000000" w:sz="4" w:space="0"/>
            </w:tcBorders>
            <w:shd w:val="clear"/>
            <w:noWrap/>
            <w:vAlign w:val="center"/>
          </w:tcPr>
          <w:p w14:paraId="2F21B3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拉伸</w:t>
            </w:r>
          </w:p>
        </w:tc>
        <w:tc>
          <w:tcPr>
            <w:tcW w:w="1354" w:type="dxa"/>
            <w:tcBorders>
              <w:top w:val="single" w:color="000000" w:sz="4" w:space="0"/>
              <w:left w:val="single" w:color="000000" w:sz="4" w:space="0"/>
              <w:bottom w:val="single" w:color="000000" w:sz="4" w:space="0"/>
              <w:right w:val="single" w:color="000000" w:sz="4" w:space="0"/>
            </w:tcBorders>
            <w:shd w:val="clear"/>
            <w:noWrap/>
            <w:vAlign w:val="center"/>
          </w:tcPr>
          <w:p w14:paraId="52974C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1576F0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E349BA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010A29B5">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57036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6" w:type="dxa"/>
            <w:vMerge w:val="restart"/>
            <w:tcBorders>
              <w:top w:val="single" w:color="000000" w:sz="4" w:space="0"/>
              <w:left w:val="single" w:color="000000" w:sz="4" w:space="0"/>
              <w:bottom w:val="nil"/>
              <w:right w:val="single" w:color="000000" w:sz="4" w:space="0"/>
            </w:tcBorders>
            <w:shd w:val="clear"/>
            <w:noWrap/>
            <w:vAlign w:val="center"/>
          </w:tcPr>
          <w:p w14:paraId="01711F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203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62D14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镀锌钢管</w:t>
            </w:r>
          </w:p>
        </w:tc>
        <w:tc>
          <w:tcPr>
            <w:tcW w:w="4387" w:type="dxa"/>
            <w:tcBorders>
              <w:top w:val="single" w:color="000000" w:sz="4" w:space="0"/>
              <w:left w:val="single" w:color="000000" w:sz="4" w:space="0"/>
              <w:bottom w:val="single" w:color="000000" w:sz="4" w:space="0"/>
              <w:right w:val="single" w:color="000000" w:sz="4" w:space="0"/>
            </w:tcBorders>
            <w:shd w:val="clear"/>
            <w:noWrap/>
            <w:vAlign w:val="center"/>
          </w:tcPr>
          <w:p w14:paraId="40F6CB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拉伸</w:t>
            </w:r>
          </w:p>
        </w:tc>
        <w:tc>
          <w:tcPr>
            <w:tcW w:w="1354" w:type="dxa"/>
            <w:tcBorders>
              <w:top w:val="single" w:color="000000" w:sz="4" w:space="0"/>
              <w:left w:val="single" w:color="000000" w:sz="4" w:space="0"/>
              <w:bottom w:val="single" w:color="000000" w:sz="4" w:space="0"/>
              <w:right w:val="single" w:color="000000" w:sz="4" w:space="0"/>
            </w:tcBorders>
            <w:shd w:val="clear"/>
            <w:noWrap/>
            <w:vAlign w:val="center"/>
          </w:tcPr>
          <w:p w14:paraId="2545F0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1CF7B6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536A0D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250C4445">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2190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nil"/>
              <w:right w:val="single" w:color="000000" w:sz="4" w:space="0"/>
            </w:tcBorders>
            <w:shd w:val="clear"/>
            <w:noWrap/>
            <w:vAlign w:val="center"/>
          </w:tcPr>
          <w:p w14:paraId="3E4F6BF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F83D5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637D1B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镀锌层</w:t>
            </w:r>
          </w:p>
        </w:tc>
        <w:tc>
          <w:tcPr>
            <w:tcW w:w="1354" w:type="dxa"/>
            <w:tcBorders>
              <w:top w:val="single" w:color="000000" w:sz="4" w:space="0"/>
              <w:left w:val="single" w:color="000000" w:sz="4" w:space="0"/>
              <w:bottom w:val="single" w:color="000000" w:sz="4" w:space="0"/>
              <w:right w:val="single" w:color="000000" w:sz="4" w:space="0"/>
            </w:tcBorders>
            <w:shd w:val="clear"/>
            <w:noWrap/>
            <w:vAlign w:val="center"/>
          </w:tcPr>
          <w:p w14:paraId="25041F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2BBC00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C3853A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21C1571C">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2EEE3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F4631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20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3E96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聚合物水泥防水涂料</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699C3E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施工性</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3F5F42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CC769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E7965C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23851FA3">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607B1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B7548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95030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603763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湿基面粘结强度</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727627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E2F8BF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4A82FFC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3838003D">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3B8B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6B094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E02E0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1C8003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不透水性</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625A45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B3B0D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7A11CFA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421FC671">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69DB9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64A91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5D6A4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1C521F4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低温柔度</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4E4E26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F1BD9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BD7E31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7AAC219E">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5769F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BD881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BA238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68A69F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断裂伸长率</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0D11A7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C2089C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7483230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30ED2464">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63C7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6159C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E7509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6EFB28B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潮湿基面粘结强度</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39B11E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BB7C4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7193B10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049AB3CB">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766E3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097751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BFE37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6C1ACE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固体含量</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3B8F27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97913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39F0AF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35900187">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515B6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E7963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2BB1A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39CE0E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拉伸强度</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141E58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56A69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C2D577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018FA885">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4969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D0672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60681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3D3841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粘接强度</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1A81C7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ABF53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0C6BD5E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0553A42F">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3781B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7B428C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2036" w:type="dxa"/>
            <w:tcBorders>
              <w:top w:val="single" w:color="000000" w:sz="4" w:space="0"/>
              <w:left w:val="single" w:color="000000" w:sz="4" w:space="0"/>
              <w:bottom w:val="single" w:color="000000" w:sz="4" w:space="0"/>
              <w:right w:val="single" w:color="000000" w:sz="4" w:space="0"/>
            </w:tcBorders>
            <w:shd w:val="clear"/>
            <w:vAlign w:val="center"/>
          </w:tcPr>
          <w:p w14:paraId="15F5B1D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混凝土</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03F6A6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抗压强度</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034D0B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CEFEA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BFD7EA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7F3B7857">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2A2E4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restart"/>
            <w:tcBorders>
              <w:top w:val="single" w:color="000000" w:sz="4" w:space="0"/>
              <w:left w:val="single" w:color="000000" w:sz="4" w:space="0"/>
              <w:bottom w:val="nil"/>
              <w:right w:val="single" w:color="000000" w:sz="4" w:space="0"/>
            </w:tcBorders>
            <w:shd w:val="clear"/>
            <w:noWrap/>
            <w:vAlign w:val="center"/>
          </w:tcPr>
          <w:p w14:paraId="7DBE62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2036" w:type="dxa"/>
            <w:vMerge w:val="restart"/>
            <w:tcBorders>
              <w:top w:val="single" w:color="000000" w:sz="4" w:space="0"/>
              <w:left w:val="single" w:color="000000" w:sz="4" w:space="0"/>
              <w:bottom w:val="nil"/>
              <w:right w:val="single" w:color="000000" w:sz="4" w:space="0"/>
            </w:tcBorders>
            <w:shd w:val="clear"/>
            <w:noWrap/>
            <w:vAlign w:val="center"/>
          </w:tcPr>
          <w:p w14:paraId="36A60A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钢管</w:t>
            </w:r>
          </w:p>
        </w:tc>
        <w:tc>
          <w:tcPr>
            <w:tcW w:w="4387" w:type="dxa"/>
            <w:tcBorders>
              <w:top w:val="single" w:color="000000" w:sz="4" w:space="0"/>
              <w:left w:val="single" w:color="000000" w:sz="4" w:space="0"/>
              <w:bottom w:val="single" w:color="000000" w:sz="4" w:space="0"/>
              <w:right w:val="single" w:color="000000" w:sz="4" w:space="0"/>
            </w:tcBorders>
            <w:shd w:val="clear"/>
            <w:noWrap/>
            <w:vAlign w:val="center"/>
          </w:tcPr>
          <w:p w14:paraId="11BF15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拉伸</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5D48D5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4E3485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1951D4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687FAFBA">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05EC5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nil"/>
              <w:right w:val="single" w:color="000000" w:sz="4" w:space="0"/>
            </w:tcBorders>
            <w:shd w:val="clear"/>
            <w:noWrap/>
            <w:vAlign w:val="center"/>
          </w:tcPr>
          <w:p w14:paraId="3F4A47C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nil"/>
              <w:right w:val="single" w:color="000000" w:sz="4" w:space="0"/>
            </w:tcBorders>
            <w:shd w:val="clear"/>
            <w:noWrap/>
            <w:vAlign w:val="center"/>
          </w:tcPr>
          <w:p w14:paraId="1188633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nil"/>
              <w:right w:val="single" w:color="000000" w:sz="4" w:space="0"/>
            </w:tcBorders>
            <w:shd w:val="clear"/>
            <w:noWrap/>
            <w:vAlign w:val="center"/>
          </w:tcPr>
          <w:p w14:paraId="4C9C84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弯曲</w:t>
            </w:r>
          </w:p>
        </w:tc>
        <w:tc>
          <w:tcPr>
            <w:tcW w:w="1354" w:type="dxa"/>
            <w:tcBorders>
              <w:top w:val="single" w:color="000000" w:sz="4" w:space="0"/>
              <w:left w:val="single" w:color="000000" w:sz="4" w:space="0"/>
              <w:bottom w:val="nil"/>
              <w:right w:val="single" w:color="000000" w:sz="4" w:space="0"/>
            </w:tcBorders>
            <w:shd w:val="clear"/>
            <w:vAlign w:val="center"/>
          </w:tcPr>
          <w:p w14:paraId="471FAB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nil"/>
              <w:right w:val="single" w:color="000000" w:sz="4" w:space="0"/>
            </w:tcBorders>
            <w:shd w:val="clear"/>
            <w:noWrap/>
            <w:vAlign w:val="center"/>
          </w:tcPr>
          <w:p w14:paraId="31D440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71B0511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1E34AB89">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53B9E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752939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2036" w:type="dxa"/>
            <w:tcBorders>
              <w:top w:val="single" w:color="000000" w:sz="4" w:space="0"/>
              <w:left w:val="single" w:color="000000" w:sz="4" w:space="0"/>
              <w:bottom w:val="single" w:color="000000" w:sz="4" w:space="0"/>
              <w:right w:val="single" w:color="000000" w:sz="4" w:space="0"/>
            </w:tcBorders>
            <w:shd w:val="clear"/>
            <w:vAlign w:val="center"/>
          </w:tcPr>
          <w:p w14:paraId="2974BE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耐水腻子</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2DB8C4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容器中状态、施工性、粘结强度</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033B4A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1CBA9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90681A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2DCCFA13">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25A17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74BEB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203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99648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大理石</w:t>
            </w:r>
          </w:p>
        </w:tc>
        <w:tc>
          <w:tcPr>
            <w:tcW w:w="4387" w:type="dxa"/>
            <w:tcBorders>
              <w:top w:val="single" w:color="000000" w:sz="4" w:space="0"/>
              <w:left w:val="single" w:color="000000" w:sz="4" w:space="0"/>
              <w:bottom w:val="nil"/>
              <w:right w:val="single" w:color="000000" w:sz="4" w:space="0"/>
            </w:tcBorders>
            <w:shd w:val="clear"/>
            <w:noWrap/>
            <w:vAlign w:val="center"/>
          </w:tcPr>
          <w:p w14:paraId="6B795D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放射性</w:t>
            </w:r>
          </w:p>
        </w:tc>
        <w:tc>
          <w:tcPr>
            <w:tcW w:w="1354" w:type="dxa"/>
            <w:tcBorders>
              <w:top w:val="single" w:color="000000" w:sz="4" w:space="0"/>
              <w:left w:val="single" w:color="000000" w:sz="4" w:space="0"/>
              <w:bottom w:val="nil"/>
              <w:right w:val="single" w:color="000000" w:sz="4" w:space="0"/>
            </w:tcBorders>
            <w:shd w:val="clear"/>
            <w:noWrap/>
            <w:vAlign w:val="center"/>
          </w:tcPr>
          <w:p w14:paraId="190B17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B9439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FCF2A7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199349FC">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7D7BC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A80D9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D6350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nil"/>
              <w:right w:val="single" w:color="000000" w:sz="4" w:space="0"/>
            </w:tcBorders>
            <w:shd w:val="clear"/>
            <w:noWrap/>
            <w:vAlign w:val="center"/>
          </w:tcPr>
          <w:p w14:paraId="261044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吸水率</w:t>
            </w:r>
          </w:p>
        </w:tc>
        <w:tc>
          <w:tcPr>
            <w:tcW w:w="1354" w:type="dxa"/>
            <w:tcBorders>
              <w:top w:val="single" w:color="000000" w:sz="4" w:space="0"/>
              <w:left w:val="single" w:color="000000" w:sz="4" w:space="0"/>
              <w:bottom w:val="nil"/>
              <w:right w:val="single" w:color="000000" w:sz="4" w:space="0"/>
            </w:tcBorders>
            <w:shd w:val="clear"/>
            <w:noWrap/>
            <w:vAlign w:val="center"/>
          </w:tcPr>
          <w:p w14:paraId="685107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E232E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4E32E1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545FEF6D">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74A02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777008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2036" w:type="dxa"/>
            <w:tcBorders>
              <w:top w:val="single" w:color="000000" w:sz="4" w:space="0"/>
              <w:left w:val="single" w:color="000000" w:sz="4" w:space="0"/>
              <w:bottom w:val="single" w:color="000000" w:sz="4" w:space="0"/>
              <w:right w:val="single" w:color="000000" w:sz="4" w:space="0"/>
            </w:tcBorders>
            <w:shd w:val="clear"/>
            <w:noWrap/>
            <w:vAlign w:val="center"/>
          </w:tcPr>
          <w:p w14:paraId="4E3005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防火门</w:t>
            </w:r>
          </w:p>
        </w:tc>
        <w:tc>
          <w:tcPr>
            <w:tcW w:w="4387" w:type="dxa"/>
            <w:tcBorders>
              <w:top w:val="single" w:color="000000" w:sz="4" w:space="0"/>
              <w:left w:val="single" w:color="000000" w:sz="4" w:space="0"/>
              <w:bottom w:val="nil"/>
              <w:right w:val="single" w:color="000000" w:sz="4" w:space="0"/>
            </w:tcBorders>
            <w:shd w:val="clear"/>
            <w:noWrap/>
            <w:vAlign w:val="center"/>
          </w:tcPr>
          <w:p w14:paraId="630804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耐火极限</w:t>
            </w:r>
          </w:p>
        </w:tc>
        <w:tc>
          <w:tcPr>
            <w:tcW w:w="1354" w:type="dxa"/>
            <w:tcBorders>
              <w:top w:val="single" w:color="000000" w:sz="4" w:space="0"/>
              <w:left w:val="single" w:color="000000" w:sz="4" w:space="0"/>
              <w:bottom w:val="nil"/>
              <w:right w:val="single" w:color="000000" w:sz="4" w:space="0"/>
            </w:tcBorders>
            <w:shd w:val="clear"/>
            <w:noWrap/>
            <w:vAlign w:val="center"/>
          </w:tcPr>
          <w:p w14:paraId="2E6AB9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小时</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7EC8A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E1871B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vAlign w:val="center"/>
          </w:tcPr>
          <w:p w14:paraId="50DDE2F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根据现场图纸要求几小时</w:t>
            </w:r>
          </w:p>
        </w:tc>
      </w:tr>
      <w:tr w14:paraId="36FB9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5568D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20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5832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门窗性能</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7C17D7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气密性、水密性、抗风压性</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2F80C1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B2E15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162372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56281286">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219E4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006C51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91882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002F5A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传热系数</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088E4A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5F2B5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AE2D9E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19E21B4D">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0341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7AEEF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0DB63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288826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隔声性能</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4B8F8B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73386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21D5A1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139E4F79">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5FDC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tcBorders>
              <w:top w:val="nil"/>
              <w:left w:val="single" w:color="000000" w:sz="4" w:space="0"/>
              <w:bottom w:val="single" w:color="000000" w:sz="4" w:space="0"/>
              <w:right w:val="single" w:color="000000" w:sz="4" w:space="0"/>
            </w:tcBorders>
            <w:shd w:val="clear"/>
            <w:noWrap/>
            <w:vAlign w:val="center"/>
          </w:tcPr>
          <w:p w14:paraId="624068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2036" w:type="dxa"/>
            <w:tcBorders>
              <w:top w:val="nil"/>
              <w:left w:val="single" w:color="000000" w:sz="4" w:space="0"/>
              <w:bottom w:val="single" w:color="000000" w:sz="4" w:space="0"/>
              <w:right w:val="single" w:color="000000" w:sz="4" w:space="0"/>
            </w:tcBorders>
            <w:shd w:val="clear"/>
            <w:vAlign w:val="center"/>
          </w:tcPr>
          <w:p w14:paraId="7742FD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门窗性能（现场）</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575AAD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气密性、水密性</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2580258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24055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085CDA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2CC495DB">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72AC8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restart"/>
            <w:tcBorders>
              <w:top w:val="nil"/>
              <w:left w:val="single" w:color="000000" w:sz="4" w:space="0"/>
              <w:bottom w:val="single" w:color="000000" w:sz="4" w:space="0"/>
              <w:right w:val="single" w:color="000000" w:sz="4" w:space="0"/>
            </w:tcBorders>
            <w:shd w:val="clear"/>
            <w:noWrap/>
            <w:vAlign w:val="center"/>
          </w:tcPr>
          <w:p w14:paraId="4B9398F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20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ACC4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窗户密封条</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04E8DD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硬度</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7802F5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20DF4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5FF4EF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5504E035">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2484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5D8BDCF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B6782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74572B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拉伸强度</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2C0A89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A6029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F93548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09FAA8C5">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581E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06C16E8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3820E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79C148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拉断伸长率</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7AB895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A91E3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1EBB25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39D607A5">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2219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1DA29DF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42A32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56B830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压缩永久变形</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6FF10A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2F328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5966FE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21413FC3">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5E55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325362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2036" w:type="dxa"/>
            <w:tcBorders>
              <w:top w:val="single" w:color="000000" w:sz="4" w:space="0"/>
              <w:left w:val="single" w:color="000000" w:sz="4" w:space="0"/>
              <w:bottom w:val="single" w:color="000000" w:sz="4" w:space="0"/>
              <w:right w:val="single" w:color="000000" w:sz="4" w:space="0"/>
            </w:tcBorders>
            <w:shd w:val="clear"/>
            <w:noWrap/>
            <w:vAlign w:val="center"/>
          </w:tcPr>
          <w:p w14:paraId="6BCAB9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膨胀螺栓</w:t>
            </w:r>
          </w:p>
        </w:tc>
        <w:tc>
          <w:tcPr>
            <w:tcW w:w="4387" w:type="dxa"/>
            <w:tcBorders>
              <w:top w:val="single" w:color="000000" w:sz="4" w:space="0"/>
              <w:left w:val="single" w:color="000000" w:sz="4" w:space="0"/>
              <w:bottom w:val="nil"/>
              <w:right w:val="single" w:color="000000" w:sz="4" w:space="0"/>
            </w:tcBorders>
            <w:shd w:val="clear"/>
            <w:noWrap/>
            <w:vAlign w:val="center"/>
          </w:tcPr>
          <w:p w14:paraId="09A1CB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抗拉</w:t>
            </w:r>
          </w:p>
        </w:tc>
        <w:tc>
          <w:tcPr>
            <w:tcW w:w="1354" w:type="dxa"/>
            <w:tcBorders>
              <w:top w:val="single" w:color="000000" w:sz="4" w:space="0"/>
              <w:left w:val="single" w:color="000000" w:sz="4" w:space="0"/>
              <w:bottom w:val="nil"/>
              <w:right w:val="single" w:color="000000" w:sz="4" w:space="0"/>
            </w:tcBorders>
            <w:shd w:val="clear"/>
            <w:noWrap/>
            <w:vAlign w:val="center"/>
          </w:tcPr>
          <w:p w14:paraId="7D00A6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5FA8B8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73A803F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53B469A3">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5E60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6" w:type="dxa"/>
            <w:vMerge w:val="restart"/>
            <w:tcBorders>
              <w:top w:val="single" w:color="000000" w:sz="4" w:space="0"/>
              <w:left w:val="single" w:color="000000" w:sz="4" w:space="0"/>
              <w:bottom w:val="nil"/>
              <w:right w:val="single" w:color="000000" w:sz="4" w:space="0"/>
            </w:tcBorders>
            <w:shd w:val="clear"/>
            <w:noWrap/>
            <w:vAlign w:val="center"/>
          </w:tcPr>
          <w:p w14:paraId="34F872C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2036" w:type="dxa"/>
            <w:vMerge w:val="restart"/>
            <w:tcBorders>
              <w:top w:val="single" w:color="000000" w:sz="4" w:space="0"/>
              <w:left w:val="single" w:color="000000" w:sz="4" w:space="0"/>
              <w:bottom w:val="nil"/>
              <w:right w:val="single" w:color="000000" w:sz="4" w:space="0"/>
            </w:tcBorders>
            <w:shd w:val="clear"/>
            <w:noWrap/>
            <w:vAlign w:val="center"/>
          </w:tcPr>
          <w:p w14:paraId="5A1A51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砂浆 </w:t>
            </w:r>
          </w:p>
        </w:tc>
        <w:tc>
          <w:tcPr>
            <w:tcW w:w="4387" w:type="dxa"/>
            <w:tcBorders>
              <w:top w:val="single" w:color="000000" w:sz="4" w:space="0"/>
              <w:left w:val="single" w:color="000000" w:sz="4" w:space="0"/>
              <w:bottom w:val="nil"/>
              <w:right w:val="single" w:color="000000" w:sz="4" w:space="0"/>
            </w:tcBorders>
            <w:shd w:val="clear"/>
            <w:noWrap/>
            <w:vAlign w:val="center"/>
          </w:tcPr>
          <w:p w14:paraId="1A5639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保水率</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12BD9E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7A4081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7DA28FD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51E028CD">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5020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nil"/>
              <w:right w:val="single" w:color="000000" w:sz="4" w:space="0"/>
            </w:tcBorders>
            <w:shd w:val="clear"/>
            <w:noWrap/>
            <w:vAlign w:val="center"/>
          </w:tcPr>
          <w:p w14:paraId="0B3B860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nil"/>
              <w:right w:val="single" w:color="000000" w:sz="4" w:space="0"/>
            </w:tcBorders>
            <w:shd w:val="clear"/>
            <w:noWrap/>
            <w:vAlign w:val="center"/>
          </w:tcPr>
          <w:p w14:paraId="69D28E2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nil"/>
              <w:right w:val="single" w:color="000000" w:sz="4" w:space="0"/>
            </w:tcBorders>
            <w:shd w:val="clear"/>
            <w:vAlign w:val="center"/>
          </w:tcPr>
          <w:p w14:paraId="2CD821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粘结强度</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23C638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7A67B3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E44F1A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5F96E150">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79F3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6" w:type="dxa"/>
            <w:vMerge w:val="continue"/>
            <w:tcBorders>
              <w:top w:val="single" w:color="000000" w:sz="4" w:space="0"/>
              <w:left w:val="single" w:color="000000" w:sz="4" w:space="0"/>
              <w:bottom w:val="nil"/>
              <w:right w:val="single" w:color="000000" w:sz="4" w:space="0"/>
            </w:tcBorders>
            <w:shd w:val="clear"/>
            <w:noWrap/>
            <w:vAlign w:val="center"/>
          </w:tcPr>
          <w:p w14:paraId="54AC1D8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nil"/>
              <w:right w:val="single" w:color="000000" w:sz="4" w:space="0"/>
            </w:tcBorders>
            <w:shd w:val="clear"/>
            <w:noWrap/>
            <w:vAlign w:val="center"/>
          </w:tcPr>
          <w:p w14:paraId="7E4C372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nil"/>
              <w:right w:val="single" w:color="000000" w:sz="4" w:space="0"/>
            </w:tcBorders>
            <w:shd w:val="clear"/>
            <w:vAlign w:val="center"/>
          </w:tcPr>
          <w:p w14:paraId="7AFEF0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强度</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30CAE4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61985B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5923C5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026C98BC">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360CC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709856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2036" w:type="dxa"/>
            <w:tcBorders>
              <w:top w:val="single" w:color="000000" w:sz="4" w:space="0"/>
              <w:left w:val="single" w:color="000000" w:sz="4" w:space="0"/>
              <w:bottom w:val="single" w:color="000000" w:sz="4" w:space="0"/>
              <w:right w:val="single" w:color="000000" w:sz="4" w:space="0"/>
            </w:tcBorders>
            <w:shd w:val="clear"/>
            <w:noWrap/>
            <w:vAlign w:val="center"/>
          </w:tcPr>
          <w:p w14:paraId="68E45A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螺栓</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187F09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螺栓拉拔</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76B95A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37D2B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A9820E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vAlign w:val="center"/>
          </w:tcPr>
          <w:p w14:paraId="6BE7C69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r>
      <w:tr w14:paraId="66463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02C7C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203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43DC9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塑料管</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3D21E9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静液压</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1E836E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C721C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A45D49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140B37FF">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1BEE2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E9C6A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45E84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3D8391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尺寸</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6D05A7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CC0B1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2FD5DD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73C0F84B">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171F6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2D1EE5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2036" w:type="dxa"/>
            <w:tcBorders>
              <w:top w:val="single" w:color="000000" w:sz="4" w:space="0"/>
              <w:left w:val="single" w:color="000000" w:sz="4" w:space="0"/>
              <w:bottom w:val="single" w:color="000000" w:sz="4" w:space="0"/>
              <w:right w:val="single" w:color="000000" w:sz="4" w:space="0"/>
            </w:tcBorders>
            <w:shd w:val="clear"/>
            <w:noWrap/>
            <w:vAlign w:val="center"/>
          </w:tcPr>
          <w:p w14:paraId="06E8CB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轻钢龙骨</w:t>
            </w:r>
          </w:p>
        </w:tc>
        <w:tc>
          <w:tcPr>
            <w:tcW w:w="4387" w:type="dxa"/>
            <w:tcBorders>
              <w:top w:val="single" w:color="000000" w:sz="4" w:space="0"/>
              <w:left w:val="single" w:color="000000" w:sz="4" w:space="0"/>
              <w:bottom w:val="nil"/>
              <w:right w:val="single" w:color="000000" w:sz="4" w:space="0"/>
            </w:tcBorders>
            <w:shd w:val="clear"/>
            <w:noWrap/>
            <w:vAlign w:val="center"/>
          </w:tcPr>
          <w:p w14:paraId="173122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抗冲击性试验，静载</w:t>
            </w:r>
          </w:p>
        </w:tc>
        <w:tc>
          <w:tcPr>
            <w:tcW w:w="1354" w:type="dxa"/>
            <w:tcBorders>
              <w:top w:val="single" w:color="000000" w:sz="4" w:space="0"/>
              <w:left w:val="single" w:color="000000" w:sz="4" w:space="0"/>
              <w:bottom w:val="nil"/>
              <w:right w:val="single" w:color="000000" w:sz="4" w:space="0"/>
            </w:tcBorders>
            <w:shd w:val="clear"/>
            <w:noWrap/>
            <w:vAlign w:val="center"/>
          </w:tcPr>
          <w:p w14:paraId="2A754C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nil"/>
              <w:right w:val="single" w:color="000000" w:sz="4" w:space="0"/>
            </w:tcBorders>
            <w:shd w:val="clear"/>
            <w:noWrap/>
            <w:vAlign w:val="center"/>
          </w:tcPr>
          <w:p w14:paraId="2BE40C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17AFA5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37914682">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7CEEA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36" w:type="dxa"/>
            <w:vMerge w:val="restart"/>
            <w:tcBorders>
              <w:top w:val="nil"/>
              <w:left w:val="single" w:color="000000" w:sz="4" w:space="0"/>
              <w:bottom w:val="single" w:color="000000" w:sz="4" w:space="0"/>
              <w:right w:val="single" w:color="000000" w:sz="4" w:space="0"/>
            </w:tcBorders>
            <w:shd w:val="clear"/>
            <w:noWrap/>
            <w:vAlign w:val="center"/>
          </w:tcPr>
          <w:p w14:paraId="04766E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2036" w:type="dxa"/>
            <w:vMerge w:val="restart"/>
            <w:tcBorders>
              <w:top w:val="nil"/>
              <w:left w:val="single" w:color="000000" w:sz="4" w:space="0"/>
              <w:bottom w:val="single" w:color="000000" w:sz="4" w:space="0"/>
              <w:right w:val="single" w:color="000000" w:sz="4" w:space="0"/>
            </w:tcBorders>
            <w:shd w:val="clear"/>
            <w:noWrap/>
            <w:vAlign w:val="center"/>
          </w:tcPr>
          <w:p w14:paraId="3EC6BD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粘钢胶 </w:t>
            </w:r>
          </w:p>
        </w:tc>
        <w:tc>
          <w:tcPr>
            <w:tcW w:w="4387" w:type="dxa"/>
            <w:tcBorders>
              <w:top w:val="single" w:color="000000" w:sz="4" w:space="0"/>
              <w:left w:val="single" w:color="000000" w:sz="4" w:space="0"/>
              <w:bottom w:val="nil"/>
              <w:right w:val="single" w:color="000000" w:sz="4" w:space="0"/>
            </w:tcBorders>
            <w:shd w:val="clear"/>
            <w:noWrap/>
            <w:vAlign w:val="center"/>
          </w:tcPr>
          <w:p w14:paraId="02F3FB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钢对钢T冲击剥离长度</w:t>
            </w:r>
          </w:p>
        </w:tc>
        <w:tc>
          <w:tcPr>
            <w:tcW w:w="1354" w:type="dxa"/>
            <w:tcBorders>
              <w:top w:val="single" w:color="000000" w:sz="4" w:space="0"/>
              <w:left w:val="single" w:color="000000" w:sz="4" w:space="0"/>
              <w:bottom w:val="nil"/>
              <w:right w:val="single" w:color="000000" w:sz="4" w:space="0"/>
            </w:tcBorders>
            <w:shd w:val="clear"/>
            <w:noWrap/>
            <w:vAlign w:val="center"/>
          </w:tcPr>
          <w:p w14:paraId="7BB1F8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nil"/>
              <w:right w:val="single" w:color="000000" w:sz="4" w:space="0"/>
            </w:tcBorders>
            <w:shd w:val="clear"/>
            <w:noWrap/>
            <w:vAlign w:val="center"/>
          </w:tcPr>
          <w:p w14:paraId="6A539C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48A5561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2A5D967F">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39E76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369CCF7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nil"/>
              <w:left w:val="single" w:color="000000" w:sz="4" w:space="0"/>
              <w:bottom w:val="single" w:color="000000" w:sz="4" w:space="0"/>
              <w:right w:val="single" w:color="000000" w:sz="4" w:space="0"/>
            </w:tcBorders>
            <w:shd w:val="clear"/>
            <w:noWrap/>
            <w:vAlign w:val="center"/>
          </w:tcPr>
          <w:p w14:paraId="1ED3D1C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nil"/>
              <w:right w:val="single" w:color="000000" w:sz="4" w:space="0"/>
            </w:tcBorders>
            <w:shd w:val="clear"/>
            <w:noWrap/>
            <w:vAlign w:val="center"/>
          </w:tcPr>
          <w:p w14:paraId="2D3433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钢对C45混凝土正拉粘结强度</w:t>
            </w:r>
          </w:p>
        </w:tc>
        <w:tc>
          <w:tcPr>
            <w:tcW w:w="1354" w:type="dxa"/>
            <w:tcBorders>
              <w:top w:val="single" w:color="000000" w:sz="4" w:space="0"/>
              <w:left w:val="single" w:color="000000" w:sz="4" w:space="0"/>
              <w:bottom w:val="nil"/>
              <w:right w:val="single" w:color="000000" w:sz="4" w:space="0"/>
            </w:tcBorders>
            <w:shd w:val="clear"/>
            <w:noWrap/>
            <w:vAlign w:val="center"/>
          </w:tcPr>
          <w:p w14:paraId="4664BD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nil"/>
              <w:right w:val="single" w:color="000000" w:sz="4" w:space="0"/>
            </w:tcBorders>
            <w:shd w:val="clear"/>
            <w:noWrap/>
            <w:vAlign w:val="center"/>
          </w:tcPr>
          <w:p w14:paraId="34D137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0A3DA42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22A2FE79">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5A294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58EE0B6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nil"/>
              <w:left w:val="single" w:color="000000" w:sz="4" w:space="0"/>
              <w:bottom w:val="single" w:color="000000" w:sz="4" w:space="0"/>
              <w:right w:val="single" w:color="000000" w:sz="4" w:space="0"/>
            </w:tcBorders>
            <w:shd w:val="clear"/>
            <w:noWrap/>
            <w:vAlign w:val="center"/>
          </w:tcPr>
          <w:p w14:paraId="44E04F9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nil"/>
              <w:right w:val="single" w:color="000000" w:sz="4" w:space="0"/>
            </w:tcBorders>
            <w:shd w:val="clear"/>
            <w:noWrap/>
            <w:vAlign w:val="center"/>
          </w:tcPr>
          <w:p w14:paraId="1BC26F4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不挥发物含量</w:t>
            </w:r>
          </w:p>
        </w:tc>
        <w:tc>
          <w:tcPr>
            <w:tcW w:w="1354" w:type="dxa"/>
            <w:tcBorders>
              <w:top w:val="single" w:color="000000" w:sz="4" w:space="0"/>
              <w:left w:val="single" w:color="000000" w:sz="4" w:space="0"/>
              <w:bottom w:val="nil"/>
              <w:right w:val="single" w:color="000000" w:sz="4" w:space="0"/>
            </w:tcBorders>
            <w:shd w:val="clear"/>
            <w:noWrap/>
            <w:vAlign w:val="center"/>
          </w:tcPr>
          <w:p w14:paraId="4FFACC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nil"/>
              <w:right w:val="single" w:color="000000" w:sz="4" w:space="0"/>
            </w:tcBorders>
            <w:shd w:val="clear"/>
            <w:noWrap/>
            <w:vAlign w:val="center"/>
          </w:tcPr>
          <w:p w14:paraId="0806E2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1FE137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65E0B571">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3042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12BB730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nil"/>
              <w:left w:val="single" w:color="000000" w:sz="4" w:space="0"/>
              <w:bottom w:val="single" w:color="000000" w:sz="4" w:space="0"/>
              <w:right w:val="single" w:color="000000" w:sz="4" w:space="0"/>
            </w:tcBorders>
            <w:shd w:val="clear"/>
            <w:noWrap/>
            <w:vAlign w:val="center"/>
          </w:tcPr>
          <w:p w14:paraId="394FCFE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nil"/>
              <w:right w:val="single" w:color="000000" w:sz="4" w:space="0"/>
            </w:tcBorders>
            <w:shd w:val="clear"/>
            <w:vAlign w:val="center"/>
          </w:tcPr>
          <w:p w14:paraId="167EE8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湿热老化性能(快速法)抗剪强度降低百分率(GB50550-2010）</w:t>
            </w:r>
          </w:p>
        </w:tc>
        <w:tc>
          <w:tcPr>
            <w:tcW w:w="1354" w:type="dxa"/>
            <w:tcBorders>
              <w:top w:val="single" w:color="000000" w:sz="4" w:space="0"/>
              <w:left w:val="single" w:color="000000" w:sz="4" w:space="0"/>
              <w:bottom w:val="nil"/>
              <w:right w:val="single" w:color="000000" w:sz="4" w:space="0"/>
            </w:tcBorders>
            <w:shd w:val="clear"/>
            <w:noWrap/>
            <w:vAlign w:val="center"/>
          </w:tcPr>
          <w:p w14:paraId="48294D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nil"/>
              <w:right w:val="single" w:color="000000" w:sz="4" w:space="0"/>
            </w:tcBorders>
            <w:shd w:val="clear"/>
            <w:noWrap/>
            <w:vAlign w:val="center"/>
          </w:tcPr>
          <w:p w14:paraId="2E34A6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704FD9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63157E71">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0E693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015A9B0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nil"/>
              <w:left w:val="single" w:color="000000" w:sz="4" w:space="0"/>
              <w:bottom w:val="single" w:color="000000" w:sz="4" w:space="0"/>
              <w:right w:val="single" w:color="000000" w:sz="4" w:space="0"/>
            </w:tcBorders>
            <w:shd w:val="clear"/>
            <w:noWrap/>
            <w:vAlign w:val="center"/>
          </w:tcPr>
          <w:p w14:paraId="5C27405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nil"/>
              <w:right w:val="single" w:color="000000" w:sz="4" w:space="0"/>
            </w:tcBorders>
            <w:shd w:val="clear"/>
            <w:noWrap/>
            <w:vAlign w:val="center"/>
          </w:tcPr>
          <w:p w14:paraId="470578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钢对钢拉伸抗剪强度标准值</w:t>
            </w:r>
          </w:p>
        </w:tc>
        <w:tc>
          <w:tcPr>
            <w:tcW w:w="1354" w:type="dxa"/>
            <w:tcBorders>
              <w:top w:val="single" w:color="000000" w:sz="4" w:space="0"/>
              <w:left w:val="single" w:color="000000" w:sz="4" w:space="0"/>
              <w:bottom w:val="nil"/>
              <w:right w:val="single" w:color="000000" w:sz="4" w:space="0"/>
            </w:tcBorders>
            <w:shd w:val="clear"/>
            <w:noWrap/>
            <w:vAlign w:val="center"/>
          </w:tcPr>
          <w:p w14:paraId="56F65AD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nil"/>
              <w:right w:val="single" w:color="000000" w:sz="4" w:space="0"/>
            </w:tcBorders>
            <w:shd w:val="clear"/>
            <w:noWrap/>
            <w:vAlign w:val="center"/>
          </w:tcPr>
          <w:p w14:paraId="22FF74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F36E44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06146733">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32756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36" w:type="dxa"/>
            <w:tcBorders>
              <w:top w:val="nil"/>
              <w:left w:val="single" w:color="000000" w:sz="4" w:space="0"/>
              <w:bottom w:val="single" w:color="000000" w:sz="4" w:space="0"/>
              <w:right w:val="single" w:color="000000" w:sz="4" w:space="0"/>
            </w:tcBorders>
            <w:shd w:val="clear"/>
            <w:noWrap/>
            <w:vAlign w:val="center"/>
          </w:tcPr>
          <w:p w14:paraId="4A2F37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2036" w:type="dxa"/>
            <w:tcBorders>
              <w:top w:val="nil"/>
              <w:left w:val="single" w:color="000000" w:sz="4" w:space="0"/>
              <w:bottom w:val="single" w:color="000000" w:sz="4" w:space="0"/>
              <w:right w:val="single" w:color="000000" w:sz="4" w:space="0"/>
            </w:tcBorders>
            <w:shd w:val="clear"/>
            <w:noWrap/>
            <w:vAlign w:val="center"/>
          </w:tcPr>
          <w:p w14:paraId="7DF084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抗渗混凝土 C25</w:t>
            </w:r>
          </w:p>
        </w:tc>
        <w:tc>
          <w:tcPr>
            <w:tcW w:w="4387" w:type="dxa"/>
            <w:tcBorders>
              <w:top w:val="single" w:color="000000" w:sz="4" w:space="0"/>
              <w:left w:val="single" w:color="000000" w:sz="4" w:space="0"/>
              <w:bottom w:val="nil"/>
              <w:right w:val="single" w:color="000000" w:sz="4" w:space="0"/>
            </w:tcBorders>
            <w:shd w:val="clear"/>
            <w:noWrap/>
            <w:vAlign w:val="center"/>
          </w:tcPr>
          <w:p w14:paraId="7A9791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抗渗性能</w:t>
            </w:r>
          </w:p>
        </w:tc>
        <w:tc>
          <w:tcPr>
            <w:tcW w:w="1354" w:type="dxa"/>
            <w:tcBorders>
              <w:top w:val="single" w:color="000000" w:sz="4" w:space="0"/>
              <w:left w:val="single" w:color="000000" w:sz="4" w:space="0"/>
              <w:bottom w:val="nil"/>
              <w:right w:val="single" w:color="000000" w:sz="4" w:space="0"/>
            </w:tcBorders>
            <w:shd w:val="clear"/>
            <w:noWrap/>
            <w:vAlign w:val="center"/>
          </w:tcPr>
          <w:p w14:paraId="2BC96A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nil"/>
              <w:right w:val="single" w:color="000000" w:sz="4" w:space="0"/>
            </w:tcBorders>
            <w:shd w:val="clear"/>
            <w:noWrap/>
            <w:vAlign w:val="center"/>
          </w:tcPr>
          <w:p w14:paraId="5627E8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7389B13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vAlign w:val="center"/>
          </w:tcPr>
          <w:p w14:paraId="0E2193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每增加一个等级加100</w:t>
            </w:r>
          </w:p>
        </w:tc>
      </w:tr>
      <w:tr w14:paraId="3DFF7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restart"/>
            <w:tcBorders>
              <w:top w:val="nil"/>
              <w:left w:val="single" w:color="000000" w:sz="4" w:space="0"/>
              <w:bottom w:val="single" w:color="000000" w:sz="4" w:space="0"/>
              <w:right w:val="single" w:color="000000" w:sz="4" w:space="0"/>
            </w:tcBorders>
            <w:shd w:val="clear"/>
            <w:noWrap/>
            <w:vAlign w:val="center"/>
          </w:tcPr>
          <w:p w14:paraId="58B288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2036" w:type="dxa"/>
            <w:vMerge w:val="restart"/>
            <w:tcBorders>
              <w:top w:val="nil"/>
              <w:left w:val="single" w:color="000000" w:sz="4" w:space="0"/>
              <w:bottom w:val="single" w:color="000000" w:sz="4" w:space="0"/>
              <w:right w:val="single" w:color="000000" w:sz="4" w:space="0"/>
            </w:tcBorders>
            <w:shd w:val="clear"/>
            <w:noWrap/>
            <w:vAlign w:val="center"/>
          </w:tcPr>
          <w:p w14:paraId="4C60A2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防水卷材</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277EAD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不透水性</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216DA0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207D0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76AEE93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263245A6">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7D11D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0C4BC5E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nil"/>
              <w:left w:val="single" w:color="000000" w:sz="4" w:space="0"/>
              <w:bottom w:val="single" w:color="000000" w:sz="4" w:space="0"/>
              <w:right w:val="single" w:color="000000" w:sz="4" w:space="0"/>
            </w:tcBorders>
            <w:shd w:val="clear"/>
            <w:noWrap/>
            <w:vAlign w:val="center"/>
          </w:tcPr>
          <w:p w14:paraId="1294A15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2AECB6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断裂伸长率</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0B6110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836A4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487BAAF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0B08AFC0">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10455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36BFD68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nil"/>
              <w:left w:val="single" w:color="000000" w:sz="4" w:space="0"/>
              <w:bottom w:val="single" w:color="000000" w:sz="4" w:space="0"/>
              <w:right w:val="single" w:color="000000" w:sz="4" w:space="0"/>
            </w:tcBorders>
            <w:shd w:val="clear"/>
            <w:noWrap/>
            <w:vAlign w:val="center"/>
          </w:tcPr>
          <w:p w14:paraId="405D764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3878BC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拉力</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54AFF8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39C3C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A0C127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4B9856FD">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5B4A2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710CC4C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nil"/>
              <w:left w:val="single" w:color="000000" w:sz="4" w:space="0"/>
              <w:bottom w:val="single" w:color="000000" w:sz="4" w:space="0"/>
              <w:right w:val="single" w:color="000000" w:sz="4" w:space="0"/>
            </w:tcBorders>
            <w:shd w:val="clear"/>
            <w:noWrap/>
            <w:vAlign w:val="center"/>
          </w:tcPr>
          <w:p w14:paraId="3358E4E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3EAAE9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耐热性</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0C4761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3B0F7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216E79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7898B94E">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4FCDC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07ABBF6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nil"/>
              <w:left w:val="single" w:color="000000" w:sz="4" w:space="0"/>
              <w:bottom w:val="single" w:color="000000" w:sz="4" w:space="0"/>
              <w:right w:val="single" w:color="000000" w:sz="4" w:space="0"/>
            </w:tcBorders>
            <w:shd w:val="clear"/>
            <w:noWrap/>
            <w:vAlign w:val="center"/>
          </w:tcPr>
          <w:p w14:paraId="6D815B2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4070FF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最大拉力保持率</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62E77D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3F17B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A25866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78C46B75">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72F2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48B2FB4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nil"/>
              <w:left w:val="single" w:color="000000" w:sz="4" w:space="0"/>
              <w:bottom w:val="single" w:color="000000" w:sz="4" w:space="0"/>
              <w:right w:val="single" w:color="000000" w:sz="4" w:space="0"/>
            </w:tcBorders>
            <w:shd w:val="clear"/>
            <w:noWrap/>
            <w:vAlign w:val="center"/>
          </w:tcPr>
          <w:p w14:paraId="6A295A3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55A3C7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接缝剥离强度</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50ACF4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7877E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E7D768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5CF94BE3">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0270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6AC47DC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nil"/>
              <w:left w:val="single" w:color="000000" w:sz="4" w:space="0"/>
              <w:bottom w:val="single" w:color="000000" w:sz="4" w:space="0"/>
              <w:right w:val="single" w:color="000000" w:sz="4" w:space="0"/>
            </w:tcBorders>
            <w:shd w:val="clear"/>
            <w:noWrap/>
            <w:vAlign w:val="center"/>
          </w:tcPr>
          <w:p w14:paraId="663AC64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5FA35E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可溶物含量</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64C78F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80D0A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2AB13F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72A558AC">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5DD23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65E63CD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nil"/>
              <w:left w:val="single" w:color="000000" w:sz="4" w:space="0"/>
              <w:bottom w:val="single" w:color="000000" w:sz="4" w:space="0"/>
              <w:right w:val="single" w:color="000000" w:sz="4" w:space="0"/>
            </w:tcBorders>
            <w:shd w:val="clear"/>
            <w:noWrap/>
            <w:vAlign w:val="center"/>
          </w:tcPr>
          <w:p w14:paraId="1DD7A1D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7248D7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热老化后低温柔度</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65590A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DEB14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93E1C9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00883A54">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3AA8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tcBorders>
              <w:top w:val="nil"/>
              <w:left w:val="single" w:color="000000" w:sz="4" w:space="0"/>
              <w:bottom w:val="single" w:color="000000" w:sz="4" w:space="0"/>
              <w:right w:val="single" w:color="000000" w:sz="4" w:space="0"/>
            </w:tcBorders>
            <w:shd w:val="clear"/>
            <w:noWrap/>
            <w:vAlign w:val="center"/>
          </w:tcPr>
          <w:p w14:paraId="7BB763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2036" w:type="dxa"/>
            <w:tcBorders>
              <w:top w:val="nil"/>
              <w:left w:val="single" w:color="000000" w:sz="4" w:space="0"/>
              <w:bottom w:val="single" w:color="000000" w:sz="4" w:space="0"/>
              <w:right w:val="single" w:color="000000" w:sz="4" w:space="0"/>
            </w:tcBorders>
            <w:shd w:val="clear"/>
            <w:noWrap/>
            <w:vAlign w:val="center"/>
          </w:tcPr>
          <w:p w14:paraId="44634F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铝合金条板</w:t>
            </w:r>
          </w:p>
        </w:tc>
        <w:tc>
          <w:tcPr>
            <w:tcW w:w="4387" w:type="dxa"/>
            <w:tcBorders>
              <w:top w:val="single" w:color="000000" w:sz="4" w:space="0"/>
              <w:left w:val="single" w:color="000000" w:sz="4" w:space="0"/>
              <w:bottom w:val="nil"/>
              <w:right w:val="single" w:color="000000" w:sz="4" w:space="0"/>
            </w:tcBorders>
            <w:shd w:val="clear"/>
            <w:noWrap/>
            <w:vAlign w:val="center"/>
          </w:tcPr>
          <w:p w14:paraId="0337C7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镀锌层厚度</w:t>
            </w:r>
          </w:p>
        </w:tc>
        <w:tc>
          <w:tcPr>
            <w:tcW w:w="1354" w:type="dxa"/>
            <w:tcBorders>
              <w:top w:val="single" w:color="000000" w:sz="4" w:space="0"/>
              <w:left w:val="single" w:color="000000" w:sz="4" w:space="0"/>
              <w:bottom w:val="nil"/>
              <w:right w:val="single" w:color="000000" w:sz="4" w:space="0"/>
            </w:tcBorders>
            <w:shd w:val="clear"/>
            <w:noWrap/>
            <w:vAlign w:val="center"/>
          </w:tcPr>
          <w:p w14:paraId="4330080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nil"/>
              <w:right w:val="single" w:color="000000" w:sz="4" w:space="0"/>
            </w:tcBorders>
            <w:shd w:val="clear"/>
            <w:noWrap/>
            <w:vAlign w:val="center"/>
          </w:tcPr>
          <w:p w14:paraId="4A7732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071EC0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484B9F30">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02E9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restart"/>
            <w:tcBorders>
              <w:top w:val="nil"/>
              <w:left w:val="single" w:color="000000" w:sz="4" w:space="0"/>
              <w:bottom w:val="single" w:color="000000" w:sz="4" w:space="0"/>
              <w:right w:val="single" w:color="000000" w:sz="4" w:space="0"/>
            </w:tcBorders>
            <w:shd w:val="clear"/>
            <w:noWrap/>
            <w:vAlign w:val="center"/>
          </w:tcPr>
          <w:p w14:paraId="34F506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2036" w:type="dxa"/>
            <w:vMerge w:val="restart"/>
            <w:tcBorders>
              <w:top w:val="nil"/>
              <w:left w:val="single" w:color="000000" w:sz="4" w:space="0"/>
              <w:bottom w:val="single" w:color="000000" w:sz="4" w:space="0"/>
              <w:right w:val="single" w:color="000000" w:sz="4" w:space="0"/>
            </w:tcBorders>
            <w:shd w:val="clear"/>
            <w:noWrap/>
            <w:vAlign w:val="center"/>
          </w:tcPr>
          <w:p w14:paraId="238529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防火涂料 </w:t>
            </w:r>
          </w:p>
        </w:tc>
        <w:tc>
          <w:tcPr>
            <w:tcW w:w="4387" w:type="dxa"/>
            <w:tcBorders>
              <w:top w:val="single" w:color="000000" w:sz="4" w:space="0"/>
              <w:left w:val="single" w:color="000000" w:sz="4" w:space="0"/>
              <w:bottom w:val="nil"/>
              <w:right w:val="single" w:color="000000" w:sz="4" w:space="0"/>
            </w:tcBorders>
            <w:shd w:val="clear"/>
            <w:noWrap/>
            <w:vAlign w:val="center"/>
          </w:tcPr>
          <w:p w14:paraId="4C92BB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在容器中状态</w:t>
            </w:r>
          </w:p>
        </w:tc>
        <w:tc>
          <w:tcPr>
            <w:tcW w:w="1354" w:type="dxa"/>
            <w:tcBorders>
              <w:top w:val="single" w:color="000000" w:sz="4" w:space="0"/>
              <w:left w:val="single" w:color="000000" w:sz="4" w:space="0"/>
              <w:bottom w:val="nil"/>
              <w:right w:val="single" w:color="000000" w:sz="4" w:space="0"/>
            </w:tcBorders>
            <w:shd w:val="clear"/>
            <w:noWrap/>
            <w:vAlign w:val="center"/>
          </w:tcPr>
          <w:p w14:paraId="7945F8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nil"/>
              <w:right w:val="single" w:color="000000" w:sz="4" w:space="0"/>
            </w:tcBorders>
            <w:shd w:val="clear"/>
            <w:noWrap/>
            <w:vAlign w:val="center"/>
          </w:tcPr>
          <w:p w14:paraId="55D87B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45B663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3EBEAD48">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15A76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174C24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nil"/>
              <w:left w:val="single" w:color="000000" w:sz="4" w:space="0"/>
              <w:bottom w:val="single" w:color="000000" w:sz="4" w:space="0"/>
              <w:right w:val="single" w:color="000000" w:sz="4" w:space="0"/>
            </w:tcBorders>
            <w:shd w:val="clear"/>
            <w:noWrap/>
            <w:vAlign w:val="center"/>
          </w:tcPr>
          <w:p w14:paraId="6BCF4F2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nil"/>
              <w:right w:val="single" w:color="000000" w:sz="4" w:space="0"/>
            </w:tcBorders>
            <w:shd w:val="clear"/>
            <w:noWrap/>
            <w:vAlign w:val="center"/>
          </w:tcPr>
          <w:p w14:paraId="4CA83B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干燥时间</w:t>
            </w:r>
          </w:p>
        </w:tc>
        <w:tc>
          <w:tcPr>
            <w:tcW w:w="1354" w:type="dxa"/>
            <w:tcBorders>
              <w:top w:val="single" w:color="000000" w:sz="4" w:space="0"/>
              <w:left w:val="single" w:color="000000" w:sz="4" w:space="0"/>
              <w:bottom w:val="nil"/>
              <w:right w:val="single" w:color="000000" w:sz="4" w:space="0"/>
            </w:tcBorders>
            <w:shd w:val="clear"/>
            <w:noWrap/>
            <w:vAlign w:val="center"/>
          </w:tcPr>
          <w:p w14:paraId="4B05A2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nil"/>
              <w:right w:val="single" w:color="000000" w:sz="4" w:space="0"/>
            </w:tcBorders>
            <w:shd w:val="clear"/>
            <w:noWrap/>
            <w:vAlign w:val="center"/>
          </w:tcPr>
          <w:p w14:paraId="249133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7EF7857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50DA87F5">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3A09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7E85B7A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nil"/>
              <w:left w:val="single" w:color="000000" w:sz="4" w:space="0"/>
              <w:bottom w:val="single" w:color="000000" w:sz="4" w:space="0"/>
              <w:right w:val="single" w:color="000000" w:sz="4" w:space="0"/>
            </w:tcBorders>
            <w:shd w:val="clear"/>
            <w:noWrap/>
            <w:vAlign w:val="center"/>
          </w:tcPr>
          <w:p w14:paraId="59C92C6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nil"/>
              <w:right w:val="single" w:color="000000" w:sz="4" w:space="0"/>
            </w:tcBorders>
            <w:shd w:val="clear"/>
            <w:noWrap/>
            <w:vAlign w:val="center"/>
          </w:tcPr>
          <w:p w14:paraId="6663CC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粘结强度</w:t>
            </w:r>
          </w:p>
        </w:tc>
        <w:tc>
          <w:tcPr>
            <w:tcW w:w="1354" w:type="dxa"/>
            <w:tcBorders>
              <w:top w:val="single" w:color="000000" w:sz="4" w:space="0"/>
              <w:left w:val="single" w:color="000000" w:sz="4" w:space="0"/>
              <w:bottom w:val="nil"/>
              <w:right w:val="single" w:color="000000" w:sz="4" w:space="0"/>
            </w:tcBorders>
            <w:shd w:val="clear"/>
            <w:noWrap/>
            <w:vAlign w:val="center"/>
          </w:tcPr>
          <w:p w14:paraId="05835C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nil"/>
              <w:right w:val="single" w:color="000000" w:sz="4" w:space="0"/>
            </w:tcBorders>
            <w:shd w:val="clear"/>
            <w:noWrap/>
            <w:vAlign w:val="center"/>
          </w:tcPr>
          <w:p w14:paraId="7509203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655AA3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33C0E47A">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36FC4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69B3D01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nil"/>
              <w:left w:val="single" w:color="000000" w:sz="4" w:space="0"/>
              <w:bottom w:val="single" w:color="000000" w:sz="4" w:space="0"/>
              <w:right w:val="single" w:color="000000" w:sz="4" w:space="0"/>
            </w:tcBorders>
            <w:shd w:val="clear"/>
            <w:noWrap/>
            <w:vAlign w:val="center"/>
          </w:tcPr>
          <w:p w14:paraId="3E55855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nil"/>
              <w:right w:val="single" w:color="000000" w:sz="4" w:space="0"/>
            </w:tcBorders>
            <w:shd w:val="clear"/>
            <w:noWrap/>
            <w:vAlign w:val="center"/>
          </w:tcPr>
          <w:p w14:paraId="4E61D0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抗压强度</w:t>
            </w:r>
          </w:p>
        </w:tc>
        <w:tc>
          <w:tcPr>
            <w:tcW w:w="1354" w:type="dxa"/>
            <w:tcBorders>
              <w:top w:val="single" w:color="000000" w:sz="4" w:space="0"/>
              <w:left w:val="single" w:color="000000" w:sz="4" w:space="0"/>
              <w:bottom w:val="nil"/>
              <w:right w:val="single" w:color="000000" w:sz="4" w:space="0"/>
            </w:tcBorders>
            <w:shd w:val="clear"/>
            <w:noWrap/>
            <w:vAlign w:val="center"/>
          </w:tcPr>
          <w:p w14:paraId="732D1A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w:t>
            </w:r>
          </w:p>
        </w:tc>
        <w:tc>
          <w:tcPr>
            <w:tcW w:w="1500" w:type="dxa"/>
            <w:tcBorders>
              <w:top w:val="single" w:color="000000" w:sz="4" w:space="0"/>
              <w:left w:val="single" w:color="000000" w:sz="4" w:space="0"/>
              <w:bottom w:val="nil"/>
              <w:right w:val="single" w:color="000000" w:sz="4" w:space="0"/>
            </w:tcBorders>
            <w:shd w:val="clear"/>
            <w:noWrap/>
            <w:vAlign w:val="center"/>
          </w:tcPr>
          <w:p w14:paraId="765F3F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8515DE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0E28494C">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167D1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tcBorders>
              <w:top w:val="nil"/>
              <w:left w:val="single" w:color="000000" w:sz="4" w:space="0"/>
              <w:bottom w:val="single" w:color="000000" w:sz="4" w:space="0"/>
              <w:right w:val="single" w:color="000000" w:sz="4" w:space="0"/>
            </w:tcBorders>
            <w:shd w:val="clear"/>
            <w:noWrap/>
            <w:vAlign w:val="center"/>
          </w:tcPr>
          <w:p w14:paraId="4EE73A7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2036" w:type="dxa"/>
            <w:tcBorders>
              <w:top w:val="nil"/>
              <w:left w:val="single" w:color="000000" w:sz="4" w:space="0"/>
              <w:bottom w:val="single" w:color="000000" w:sz="4" w:space="0"/>
              <w:right w:val="single" w:color="000000" w:sz="4" w:space="0"/>
            </w:tcBorders>
            <w:shd w:val="clear"/>
            <w:vAlign w:val="center"/>
          </w:tcPr>
          <w:p w14:paraId="1BDA6D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玻璃幕墙 </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0D9952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气密性、水密性、抗风压性能、层间变形性能</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4008A5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25FBB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ACC001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6406D1E6">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0DDB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13D875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2036" w:type="dxa"/>
            <w:tcBorders>
              <w:top w:val="single" w:color="000000" w:sz="4" w:space="0"/>
              <w:left w:val="single" w:color="000000" w:sz="4" w:space="0"/>
              <w:bottom w:val="single" w:color="000000" w:sz="4" w:space="0"/>
              <w:right w:val="single" w:color="000000" w:sz="4" w:space="0"/>
            </w:tcBorders>
            <w:shd w:val="clear"/>
            <w:vAlign w:val="center"/>
          </w:tcPr>
          <w:p w14:paraId="5E5880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室内环境检测</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736160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甲醛、氨、氡、苯、甲苯、二甲苯、voc</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316761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点</w:t>
            </w:r>
          </w:p>
        </w:tc>
        <w:tc>
          <w:tcPr>
            <w:tcW w:w="1500" w:type="dxa"/>
            <w:tcBorders>
              <w:top w:val="single" w:color="000000" w:sz="4" w:space="0"/>
              <w:left w:val="single" w:color="000000" w:sz="4" w:space="0"/>
              <w:bottom w:val="nil"/>
              <w:right w:val="single" w:color="000000" w:sz="4" w:space="0"/>
            </w:tcBorders>
            <w:shd w:val="clear"/>
            <w:noWrap/>
            <w:vAlign w:val="center"/>
          </w:tcPr>
          <w:p w14:paraId="3C80D1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0F69BB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7989EED2">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18"/>
                <w:szCs w:val="18"/>
                <w:u w:val="none"/>
              </w:rPr>
            </w:pPr>
          </w:p>
        </w:tc>
      </w:tr>
      <w:tr w14:paraId="6395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restart"/>
            <w:tcBorders>
              <w:top w:val="nil"/>
              <w:left w:val="single" w:color="000000" w:sz="4" w:space="0"/>
              <w:bottom w:val="single" w:color="000000" w:sz="4" w:space="0"/>
              <w:right w:val="single" w:color="000000" w:sz="4" w:space="0"/>
            </w:tcBorders>
            <w:shd w:val="clear"/>
            <w:noWrap/>
            <w:vAlign w:val="center"/>
          </w:tcPr>
          <w:p w14:paraId="4C7F99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2036" w:type="dxa"/>
            <w:vMerge w:val="restart"/>
            <w:tcBorders>
              <w:top w:val="nil"/>
              <w:left w:val="single" w:color="000000" w:sz="4" w:space="0"/>
              <w:bottom w:val="single" w:color="000000" w:sz="4" w:space="0"/>
              <w:right w:val="single" w:color="000000" w:sz="4" w:space="0"/>
            </w:tcBorders>
            <w:shd w:val="clear"/>
            <w:vAlign w:val="center"/>
          </w:tcPr>
          <w:p w14:paraId="4D33D9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高强度螺栓连接副</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1D43F2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扭矩系数</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2589AB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A60C4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4A2C1FA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1E02F4C0">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14F5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05BEE6F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nil"/>
              <w:left w:val="single" w:color="000000" w:sz="4" w:space="0"/>
              <w:bottom w:val="single" w:color="000000" w:sz="4" w:space="0"/>
              <w:right w:val="single" w:color="000000" w:sz="4" w:space="0"/>
            </w:tcBorders>
            <w:shd w:val="clear"/>
            <w:vAlign w:val="center"/>
          </w:tcPr>
          <w:p w14:paraId="7309C3B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7C424C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硬度</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5FC2A7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19402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0D3A97C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46FA718B">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5C07D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41782A5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nil"/>
              <w:left w:val="single" w:color="000000" w:sz="4" w:space="0"/>
              <w:bottom w:val="single" w:color="000000" w:sz="4" w:space="0"/>
              <w:right w:val="single" w:color="000000" w:sz="4" w:space="0"/>
            </w:tcBorders>
            <w:shd w:val="clear"/>
            <w:vAlign w:val="center"/>
          </w:tcPr>
          <w:p w14:paraId="72FB36E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0DE563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保载</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463B4E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700A1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752BD8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6EAC22C7">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227ED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6B4B29E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nil"/>
              <w:left w:val="single" w:color="000000" w:sz="4" w:space="0"/>
              <w:bottom w:val="single" w:color="000000" w:sz="4" w:space="0"/>
              <w:right w:val="single" w:color="000000" w:sz="4" w:space="0"/>
            </w:tcBorders>
            <w:shd w:val="clear"/>
            <w:vAlign w:val="center"/>
          </w:tcPr>
          <w:p w14:paraId="3D194B8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7E4A12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楔负载</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5E12F5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7B91F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969158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008BCA6B">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59489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tcBorders>
              <w:top w:val="nil"/>
              <w:left w:val="single" w:color="000000" w:sz="4" w:space="0"/>
              <w:bottom w:val="single" w:color="000000" w:sz="4" w:space="0"/>
              <w:right w:val="single" w:color="000000" w:sz="4" w:space="0"/>
            </w:tcBorders>
            <w:shd w:val="clear"/>
            <w:noWrap/>
            <w:vAlign w:val="center"/>
          </w:tcPr>
          <w:p w14:paraId="6672E7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2036" w:type="dxa"/>
            <w:tcBorders>
              <w:top w:val="nil"/>
              <w:left w:val="single" w:color="000000" w:sz="4" w:space="0"/>
              <w:bottom w:val="single" w:color="000000" w:sz="4" w:space="0"/>
              <w:right w:val="single" w:color="000000" w:sz="4" w:space="0"/>
            </w:tcBorders>
            <w:shd w:val="clear"/>
            <w:vAlign w:val="center"/>
          </w:tcPr>
          <w:p w14:paraId="11D2A3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土的标准击实</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17F289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最大干密度、最佳含水率</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2177814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5F7648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1B500E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525415C7">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6C362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36" w:type="dxa"/>
            <w:tcBorders>
              <w:top w:val="nil"/>
              <w:left w:val="single" w:color="000000" w:sz="4" w:space="0"/>
              <w:bottom w:val="single" w:color="000000" w:sz="4" w:space="0"/>
              <w:right w:val="single" w:color="000000" w:sz="4" w:space="0"/>
            </w:tcBorders>
            <w:shd w:val="clear"/>
            <w:noWrap/>
            <w:vAlign w:val="center"/>
          </w:tcPr>
          <w:p w14:paraId="10DE02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2036" w:type="dxa"/>
            <w:tcBorders>
              <w:top w:val="nil"/>
              <w:left w:val="single" w:color="000000" w:sz="4" w:space="0"/>
              <w:bottom w:val="single" w:color="000000" w:sz="4" w:space="0"/>
              <w:right w:val="single" w:color="000000" w:sz="4" w:space="0"/>
            </w:tcBorders>
            <w:shd w:val="clear"/>
            <w:vAlign w:val="center"/>
          </w:tcPr>
          <w:p w14:paraId="4AFA485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钢筋机械连接</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0A17DF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抗拉强度</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0D32F7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193C8B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9439E9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05B2C959">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09D22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jc w:val="center"/>
        </w:trPr>
        <w:tc>
          <w:tcPr>
            <w:tcW w:w="1036" w:type="dxa"/>
            <w:tcBorders>
              <w:top w:val="nil"/>
              <w:left w:val="single" w:color="000000" w:sz="4" w:space="0"/>
              <w:bottom w:val="single" w:color="000000" w:sz="4" w:space="0"/>
              <w:right w:val="single" w:color="000000" w:sz="4" w:space="0"/>
            </w:tcBorders>
            <w:shd w:val="clear"/>
            <w:noWrap/>
            <w:vAlign w:val="center"/>
          </w:tcPr>
          <w:p w14:paraId="78405D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2036" w:type="dxa"/>
            <w:tcBorders>
              <w:top w:val="nil"/>
              <w:left w:val="single" w:color="000000" w:sz="4" w:space="0"/>
              <w:bottom w:val="single" w:color="000000" w:sz="4" w:space="0"/>
              <w:right w:val="single" w:color="000000" w:sz="4" w:space="0"/>
            </w:tcBorders>
            <w:shd w:val="clear"/>
            <w:vAlign w:val="center"/>
          </w:tcPr>
          <w:p w14:paraId="3BA1C4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高强度螺栓连接摩擦面抗滑移系数</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489CC2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摩擦面抗滑移系数</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043896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CC8B3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95C16C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0C0413DB">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0E85F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restart"/>
            <w:tcBorders>
              <w:top w:val="nil"/>
              <w:left w:val="single" w:color="000000" w:sz="4" w:space="0"/>
              <w:bottom w:val="single" w:color="000000" w:sz="4" w:space="0"/>
              <w:right w:val="single" w:color="000000" w:sz="4" w:space="0"/>
            </w:tcBorders>
            <w:shd w:val="clear"/>
            <w:noWrap/>
            <w:vAlign w:val="center"/>
          </w:tcPr>
          <w:p w14:paraId="1BDFE7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2036" w:type="dxa"/>
            <w:vMerge w:val="restart"/>
            <w:tcBorders>
              <w:top w:val="nil"/>
              <w:left w:val="single" w:color="000000" w:sz="4" w:space="0"/>
              <w:bottom w:val="single" w:color="000000" w:sz="4" w:space="0"/>
              <w:right w:val="single" w:color="000000" w:sz="4" w:space="0"/>
            </w:tcBorders>
            <w:shd w:val="clear"/>
            <w:vAlign w:val="center"/>
          </w:tcPr>
          <w:p w14:paraId="260549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普通硅酸盐水泥</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10C9D2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凝结时间，安定性，胶砂强度</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3A43E7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D7431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580ACD7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7319F113">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09665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20FA0A2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nil"/>
              <w:left w:val="single" w:color="000000" w:sz="4" w:space="0"/>
              <w:bottom w:val="single" w:color="000000" w:sz="4" w:space="0"/>
              <w:right w:val="single" w:color="000000" w:sz="4" w:space="0"/>
            </w:tcBorders>
            <w:shd w:val="clear"/>
            <w:vAlign w:val="center"/>
          </w:tcPr>
          <w:p w14:paraId="604E683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18"/>
                <w:szCs w:val="18"/>
                <w:u w:val="none"/>
              </w:rPr>
            </w:pP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72EDD4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标准稠度用水量</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1C09B8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0A162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003BFD8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59C7B6E2">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2A3D4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tcBorders>
              <w:top w:val="nil"/>
              <w:left w:val="single" w:color="000000" w:sz="4" w:space="0"/>
              <w:bottom w:val="single" w:color="000000" w:sz="4" w:space="0"/>
              <w:right w:val="single" w:color="000000" w:sz="4" w:space="0"/>
            </w:tcBorders>
            <w:shd w:val="clear"/>
            <w:noWrap/>
            <w:vAlign w:val="center"/>
          </w:tcPr>
          <w:p w14:paraId="7E8950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2036" w:type="dxa"/>
            <w:tcBorders>
              <w:top w:val="nil"/>
              <w:left w:val="single" w:color="000000" w:sz="4" w:space="0"/>
              <w:bottom w:val="single" w:color="000000" w:sz="4" w:space="0"/>
              <w:right w:val="single" w:color="000000" w:sz="4" w:space="0"/>
            </w:tcBorders>
            <w:shd w:val="clear"/>
            <w:vAlign w:val="center"/>
          </w:tcPr>
          <w:p w14:paraId="6CC01C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钢筋机械连接</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09E1C6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残余变形</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7110D6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7A19CD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3D8B62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0F238C14">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72B0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tcBorders>
              <w:top w:val="nil"/>
              <w:left w:val="single" w:color="000000" w:sz="4" w:space="0"/>
              <w:bottom w:val="single" w:color="000000" w:sz="4" w:space="0"/>
              <w:right w:val="single" w:color="000000" w:sz="4" w:space="0"/>
            </w:tcBorders>
            <w:shd w:val="clear"/>
            <w:noWrap/>
            <w:vAlign w:val="center"/>
          </w:tcPr>
          <w:p w14:paraId="68B59A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2036" w:type="dxa"/>
            <w:tcBorders>
              <w:top w:val="nil"/>
              <w:left w:val="single" w:color="000000" w:sz="4" w:space="0"/>
              <w:bottom w:val="single" w:color="000000" w:sz="4" w:space="0"/>
              <w:right w:val="single" w:color="000000" w:sz="4" w:space="0"/>
            </w:tcBorders>
            <w:shd w:val="clear"/>
            <w:vAlign w:val="center"/>
          </w:tcPr>
          <w:p w14:paraId="2BF8BA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回填土</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719136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回填土试验</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5AB5BE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点</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11518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52C8D0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6DF656D6">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64F9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tcBorders>
              <w:top w:val="nil"/>
              <w:left w:val="single" w:color="000000" w:sz="4" w:space="0"/>
              <w:bottom w:val="single" w:color="000000" w:sz="4" w:space="0"/>
              <w:right w:val="single" w:color="000000" w:sz="4" w:space="0"/>
            </w:tcBorders>
            <w:shd w:val="clear"/>
            <w:noWrap/>
            <w:vAlign w:val="center"/>
          </w:tcPr>
          <w:p w14:paraId="15EF68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2036" w:type="dxa"/>
            <w:tcBorders>
              <w:top w:val="nil"/>
              <w:left w:val="single" w:color="000000" w:sz="4" w:space="0"/>
              <w:bottom w:val="single" w:color="000000" w:sz="4" w:space="0"/>
              <w:right w:val="single" w:color="000000" w:sz="4" w:space="0"/>
            </w:tcBorders>
            <w:shd w:val="clear"/>
            <w:vAlign w:val="center"/>
          </w:tcPr>
          <w:p w14:paraId="10889D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钢结构探伤</w:t>
            </w:r>
          </w:p>
        </w:tc>
        <w:tc>
          <w:tcPr>
            <w:tcW w:w="4387" w:type="dxa"/>
            <w:tcBorders>
              <w:top w:val="single" w:color="000000" w:sz="4" w:space="0"/>
              <w:left w:val="single" w:color="000000" w:sz="4" w:space="0"/>
              <w:bottom w:val="single" w:color="000000" w:sz="4" w:space="0"/>
              <w:right w:val="single" w:color="000000" w:sz="4" w:space="0"/>
            </w:tcBorders>
            <w:shd w:val="clear"/>
            <w:vAlign w:val="center"/>
          </w:tcPr>
          <w:p w14:paraId="521796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焊缝超声波探伤</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1744BC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次</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EC0B0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6D8AFE3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4E9B0B6A">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2878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36" w:type="dxa"/>
            <w:vMerge w:val="restart"/>
            <w:tcBorders>
              <w:top w:val="nil"/>
              <w:left w:val="single" w:color="000000" w:sz="4" w:space="0"/>
              <w:bottom w:val="single" w:color="000000" w:sz="4" w:space="0"/>
              <w:right w:val="single" w:color="000000" w:sz="4" w:space="0"/>
            </w:tcBorders>
            <w:shd w:val="clear"/>
            <w:noWrap/>
            <w:vAlign w:val="center"/>
          </w:tcPr>
          <w:p w14:paraId="3704C6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2036" w:type="dxa"/>
            <w:tcBorders>
              <w:top w:val="nil"/>
              <w:left w:val="single" w:color="000000" w:sz="4" w:space="0"/>
              <w:bottom w:val="single" w:color="000000" w:sz="4" w:space="0"/>
              <w:right w:val="single" w:color="000000" w:sz="4" w:space="0"/>
            </w:tcBorders>
            <w:shd w:val="clear"/>
            <w:vAlign w:val="center"/>
          </w:tcPr>
          <w:p w14:paraId="3130F3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PHC桩低应变法完整性</w:t>
            </w:r>
          </w:p>
        </w:tc>
        <w:tc>
          <w:tcPr>
            <w:tcW w:w="4387" w:type="dxa"/>
            <w:tcBorders>
              <w:top w:val="nil"/>
              <w:left w:val="single" w:color="000000" w:sz="4" w:space="0"/>
              <w:bottom w:val="single" w:color="000000" w:sz="4" w:space="0"/>
              <w:right w:val="single" w:color="000000" w:sz="4" w:space="0"/>
            </w:tcBorders>
            <w:shd w:val="clear"/>
            <w:vAlign w:val="center"/>
          </w:tcPr>
          <w:p w14:paraId="1D683F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低应变测试</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426D3A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32050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40EE7F1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2BEEE3CA">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47702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70416E9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tcBorders>
              <w:top w:val="nil"/>
              <w:left w:val="single" w:color="000000" w:sz="4" w:space="0"/>
              <w:bottom w:val="single" w:color="000000" w:sz="4" w:space="0"/>
              <w:right w:val="single" w:color="000000" w:sz="4" w:space="0"/>
            </w:tcBorders>
            <w:shd w:val="clear"/>
            <w:vAlign w:val="center"/>
          </w:tcPr>
          <w:p w14:paraId="7940ED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PHC桩单桩承载力</w:t>
            </w:r>
          </w:p>
        </w:tc>
        <w:tc>
          <w:tcPr>
            <w:tcW w:w="4387" w:type="dxa"/>
            <w:tcBorders>
              <w:top w:val="nil"/>
              <w:left w:val="single" w:color="000000" w:sz="4" w:space="0"/>
              <w:bottom w:val="single" w:color="000000" w:sz="4" w:space="0"/>
              <w:right w:val="single" w:color="000000" w:sz="4" w:space="0"/>
            </w:tcBorders>
            <w:shd w:val="clear"/>
            <w:vAlign w:val="center"/>
          </w:tcPr>
          <w:p w14:paraId="45D20C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竖向抗压承载力堆载法</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0F2D3C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6AFC11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388F65C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65608DBA">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4424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5471E7D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tcBorders>
              <w:top w:val="nil"/>
              <w:left w:val="single" w:color="000000" w:sz="4" w:space="0"/>
              <w:bottom w:val="single" w:color="000000" w:sz="4" w:space="0"/>
              <w:right w:val="single" w:color="000000" w:sz="4" w:space="0"/>
            </w:tcBorders>
            <w:shd w:val="clear"/>
            <w:vAlign w:val="center"/>
          </w:tcPr>
          <w:p w14:paraId="5F7812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PHC桩单桩承载力</w:t>
            </w:r>
          </w:p>
        </w:tc>
        <w:tc>
          <w:tcPr>
            <w:tcW w:w="4387" w:type="dxa"/>
            <w:tcBorders>
              <w:top w:val="nil"/>
              <w:left w:val="single" w:color="000000" w:sz="4" w:space="0"/>
              <w:bottom w:val="single" w:color="000000" w:sz="4" w:space="0"/>
              <w:right w:val="single" w:color="000000" w:sz="4" w:space="0"/>
            </w:tcBorders>
            <w:shd w:val="clear"/>
            <w:vAlign w:val="center"/>
          </w:tcPr>
          <w:p w14:paraId="2A76D5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竖向抗压承载力进出场</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7665EB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46BD31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A4471A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186D5FDD">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05C8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36" w:type="dxa"/>
            <w:vMerge w:val="restart"/>
            <w:tcBorders>
              <w:top w:val="nil"/>
              <w:left w:val="single" w:color="000000" w:sz="4" w:space="0"/>
              <w:bottom w:val="single" w:color="000000" w:sz="4" w:space="0"/>
              <w:right w:val="single" w:color="000000" w:sz="4" w:space="0"/>
            </w:tcBorders>
            <w:shd w:val="clear"/>
            <w:noWrap/>
            <w:vAlign w:val="center"/>
          </w:tcPr>
          <w:p w14:paraId="173C86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2036" w:type="dxa"/>
            <w:vMerge w:val="restart"/>
            <w:tcBorders>
              <w:top w:val="nil"/>
              <w:left w:val="single" w:color="000000" w:sz="4" w:space="0"/>
              <w:bottom w:val="single" w:color="000000" w:sz="4" w:space="0"/>
              <w:right w:val="single" w:color="000000" w:sz="4" w:space="0"/>
            </w:tcBorders>
            <w:shd w:val="clear"/>
            <w:vAlign w:val="center"/>
          </w:tcPr>
          <w:p w14:paraId="1EE46F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耐火纸面石膏板</w:t>
            </w:r>
          </w:p>
        </w:tc>
        <w:tc>
          <w:tcPr>
            <w:tcW w:w="4387" w:type="dxa"/>
            <w:tcBorders>
              <w:top w:val="nil"/>
              <w:left w:val="single" w:color="000000" w:sz="4" w:space="0"/>
              <w:bottom w:val="single" w:color="000000" w:sz="4" w:space="0"/>
              <w:right w:val="single" w:color="000000" w:sz="4" w:space="0"/>
            </w:tcBorders>
            <w:shd w:val="clear"/>
            <w:vAlign w:val="center"/>
          </w:tcPr>
          <w:p w14:paraId="29CF29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燃烧性能B1</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74C1F7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08905D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05C4C1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38D2805B">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631E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36" w:type="dxa"/>
            <w:vMerge w:val="continue"/>
            <w:tcBorders>
              <w:top w:val="nil"/>
              <w:left w:val="single" w:color="000000" w:sz="4" w:space="0"/>
              <w:bottom w:val="single" w:color="000000" w:sz="4" w:space="0"/>
              <w:right w:val="single" w:color="000000" w:sz="4" w:space="0"/>
            </w:tcBorders>
            <w:shd w:val="clear"/>
            <w:noWrap/>
            <w:vAlign w:val="center"/>
          </w:tcPr>
          <w:p w14:paraId="2BEA5C1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2036" w:type="dxa"/>
            <w:vMerge w:val="continue"/>
            <w:tcBorders>
              <w:top w:val="nil"/>
              <w:left w:val="single" w:color="000000" w:sz="4" w:space="0"/>
              <w:bottom w:val="single" w:color="000000" w:sz="4" w:space="0"/>
              <w:right w:val="single" w:color="000000" w:sz="4" w:space="0"/>
            </w:tcBorders>
            <w:shd w:val="clear"/>
            <w:vAlign w:val="center"/>
          </w:tcPr>
          <w:p w14:paraId="519C9AB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18"/>
                <w:szCs w:val="18"/>
                <w:u w:val="none"/>
              </w:rPr>
            </w:pPr>
          </w:p>
        </w:tc>
        <w:tc>
          <w:tcPr>
            <w:tcW w:w="4387" w:type="dxa"/>
            <w:tcBorders>
              <w:top w:val="nil"/>
              <w:left w:val="single" w:color="000000" w:sz="4" w:space="0"/>
              <w:bottom w:val="single" w:color="000000" w:sz="4" w:space="0"/>
              <w:right w:val="single" w:color="000000" w:sz="4" w:space="0"/>
            </w:tcBorders>
            <w:shd w:val="clear"/>
            <w:vAlign w:val="center"/>
          </w:tcPr>
          <w:p w14:paraId="1DA5F3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甲醛</w:t>
            </w:r>
          </w:p>
        </w:tc>
        <w:tc>
          <w:tcPr>
            <w:tcW w:w="1354" w:type="dxa"/>
            <w:tcBorders>
              <w:top w:val="single" w:color="000000" w:sz="4" w:space="0"/>
              <w:left w:val="single" w:color="000000" w:sz="4" w:space="0"/>
              <w:bottom w:val="single" w:color="000000" w:sz="4" w:space="0"/>
              <w:right w:val="single" w:color="000000" w:sz="4" w:space="0"/>
            </w:tcBorders>
            <w:shd w:val="clear"/>
            <w:vAlign w:val="center"/>
          </w:tcPr>
          <w:p w14:paraId="044364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组</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31C569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2FA083D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nil"/>
              <w:right w:val="single" w:color="000000" w:sz="4" w:space="0"/>
            </w:tcBorders>
            <w:shd w:val="clear"/>
            <w:noWrap/>
            <w:vAlign w:val="center"/>
          </w:tcPr>
          <w:p w14:paraId="65ED1CE2">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r w14:paraId="7984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0AAC5A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2036" w:type="dxa"/>
            <w:tcBorders>
              <w:top w:val="single" w:color="000000" w:sz="4" w:space="0"/>
              <w:left w:val="single" w:color="000000" w:sz="4" w:space="0"/>
              <w:bottom w:val="single" w:color="000000" w:sz="4" w:space="0"/>
              <w:right w:val="single" w:color="000000" w:sz="4" w:space="0"/>
            </w:tcBorders>
            <w:shd w:val="clear"/>
            <w:noWrap/>
            <w:vAlign w:val="center"/>
          </w:tcPr>
          <w:p w14:paraId="58C94EC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4387" w:type="dxa"/>
            <w:tcBorders>
              <w:top w:val="single" w:color="000000" w:sz="4" w:space="0"/>
              <w:left w:val="single" w:color="000000" w:sz="4" w:space="0"/>
              <w:bottom w:val="single" w:color="000000" w:sz="4" w:space="0"/>
              <w:right w:val="single" w:color="000000" w:sz="4" w:space="0"/>
            </w:tcBorders>
            <w:shd w:val="clear"/>
            <w:noWrap/>
            <w:vAlign w:val="center"/>
          </w:tcPr>
          <w:p w14:paraId="77E3238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noWrap/>
            <w:vAlign w:val="center"/>
          </w:tcPr>
          <w:p w14:paraId="3F7CF6D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14:paraId="1AB7119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14:paraId="13EFA45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0"/>
                <w:szCs w:val="20"/>
                <w:u w:val="none"/>
              </w:rPr>
            </w:pPr>
          </w:p>
        </w:tc>
        <w:tc>
          <w:tcPr>
            <w:tcW w:w="1904" w:type="dxa"/>
            <w:tcBorders>
              <w:top w:val="single" w:color="000000" w:sz="4" w:space="0"/>
              <w:left w:val="single" w:color="000000" w:sz="4" w:space="0"/>
              <w:bottom w:val="single" w:color="000000" w:sz="4" w:space="0"/>
              <w:right w:val="single" w:color="000000" w:sz="4" w:space="0"/>
            </w:tcBorders>
            <w:shd w:val="clear"/>
            <w:noWrap/>
            <w:vAlign w:val="center"/>
          </w:tcPr>
          <w:p w14:paraId="3CE7537F">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0"/>
                <w:szCs w:val="20"/>
                <w:u w:val="none"/>
              </w:rPr>
            </w:pPr>
          </w:p>
        </w:tc>
      </w:tr>
    </w:tbl>
    <w:p w14:paraId="737B8A27">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Cs/>
          <w:szCs w:val="21"/>
          <w:highlight w:val="none"/>
          <w:lang w:eastAsia="zh-CN"/>
        </w:rPr>
      </w:pPr>
    </w:p>
    <w:sectPr>
      <w:pgSz w:w="16838" w:h="11906" w:orient="landscape"/>
      <w:pgMar w:top="1230" w:right="1344" w:bottom="1230" w:left="1344"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417598"/>
      <w:docPartObj>
        <w:docPartGallery w:val="autotext"/>
      </w:docPartObj>
    </w:sdtPr>
    <w:sdtContent>
      <w:p w14:paraId="63F9DFCC">
        <w:pPr>
          <w:pStyle w:val="7"/>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5C274"/>
    <w:multiLevelType w:val="singleLevel"/>
    <w:tmpl w:val="B385C274"/>
    <w:lvl w:ilvl="0" w:tentative="0">
      <w:start w:val="1"/>
      <w:numFmt w:val="decimal"/>
      <w:suff w:val="nothing"/>
      <w:lvlText w:val="%1."/>
      <w:lvlJc w:val="left"/>
      <w:pPr>
        <w:ind w:left="425" w:hanging="425"/>
      </w:pPr>
      <w:rPr>
        <w:rFonts w:hint="default" w:ascii="宋体" w:hAnsi="宋体" w:eastAsia="宋体" w:cs="宋体"/>
      </w:rPr>
    </w:lvl>
  </w:abstractNum>
  <w:abstractNum w:abstractNumId="1">
    <w:nsid w:val="E6393705"/>
    <w:multiLevelType w:val="singleLevel"/>
    <w:tmpl w:val="E6393705"/>
    <w:lvl w:ilvl="0" w:tentative="0">
      <w:start w:val="1"/>
      <w:numFmt w:val="chineseCounting"/>
      <w:suff w:val="nothing"/>
      <w:lvlText w:val="%1、"/>
      <w:lvlJc w:val="left"/>
      <w:rPr>
        <w:rFonts w:hint="eastAsia"/>
      </w:rPr>
    </w:lvl>
  </w:abstractNum>
  <w:abstractNum w:abstractNumId="2">
    <w:nsid w:val="F7B6B655"/>
    <w:multiLevelType w:val="singleLevel"/>
    <w:tmpl w:val="F7B6B655"/>
    <w:lvl w:ilvl="0" w:tentative="0">
      <w:start w:val="1"/>
      <w:numFmt w:val="decimal"/>
      <w:suff w:val="nothing"/>
      <w:lvlText w:val="%1."/>
      <w:lvlJc w:val="left"/>
      <w:pPr>
        <w:ind w:left="425" w:hanging="425"/>
      </w:pPr>
      <w:rPr>
        <w:rFonts w:hint="default"/>
      </w:rPr>
    </w:lvl>
  </w:abstractNum>
  <w:abstractNum w:abstractNumId="3">
    <w:nsid w:val="FEA63FE5"/>
    <w:multiLevelType w:val="singleLevel"/>
    <w:tmpl w:val="FEA63FE5"/>
    <w:lvl w:ilvl="0" w:tentative="0">
      <w:start w:val="1"/>
      <w:numFmt w:val="decimal"/>
      <w:suff w:val="nothing"/>
      <w:lvlText w:val="%1."/>
      <w:lvlJc w:val="left"/>
      <w:pPr>
        <w:ind w:left="425" w:hanging="425"/>
      </w:pPr>
      <w:rPr>
        <w:rFonts w:hint="default" w:ascii="宋体" w:hAnsi="宋体" w:eastAsia="宋体" w:cs="宋体"/>
      </w:rPr>
    </w:lvl>
  </w:abstractNum>
  <w:abstractNum w:abstractNumId="4">
    <w:nsid w:val="148E2175"/>
    <w:multiLevelType w:val="singleLevel"/>
    <w:tmpl w:val="148E2175"/>
    <w:lvl w:ilvl="0" w:tentative="0">
      <w:start w:val="1"/>
      <w:numFmt w:val="decimal"/>
      <w:suff w:val="nothing"/>
      <w:lvlText w:val="%1."/>
      <w:lvlJc w:val="left"/>
      <w:pPr>
        <w:ind w:left="425" w:hanging="425"/>
      </w:pPr>
      <w:rPr>
        <w:rFonts w:hint="default" w:ascii="宋体" w:hAnsi="宋体" w:eastAsia="宋体" w:cs="宋体"/>
      </w:rPr>
    </w:lvl>
  </w:abstractNum>
  <w:abstractNum w:abstractNumId="5">
    <w:nsid w:val="2A5E33A5"/>
    <w:multiLevelType w:val="singleLevel"/>
    <w:tmpl w:val="2A5E33A5"/>
    <w:lvl w:ilvl="0" w:tentative="0">
      <w:start w:val="1"/>
      <w:numFmt w:val="decimal"/>
      <w:suff w:val="nothing"/>
      <w:lvlText w:val="%1."/>
      <w:lvlJc w:val="left"/>
      <w:pPr>
        <w:ind w:left="425" w:hanging="425"/>
      </w:pPr>
      <w:rPr>
        <w:rFonts w:hint="default" w:ascii="宋体" w:hAnsi="宋体" w:eastAsia="宋体" w:cs="宋体"/>
      </w:rPr>
    </w:lvl>
  </w:abstractNum>
  <w:abstractNum w:abstractNumId="6">
    <w:nsid w:val="386C4821"/>
    <w:multiLevelType w:val="multilevel"/>
    <w:tmpl w:val="386C4821"/>
    <w:lvl w:ilvl="0" w:tentative="0">
      <w:start w:val="1"/>
      <w:numFmt w:val="decimal"/>
      <w:suff w:val="nothing"/>
      <w:lvlText w:val="%1."/>
      <w:lvlJc w:val="left"/>
      <w:pPr>
        <w:ind w:left="425" w:hanging="425"/>
      </w:pPr>
      <w:rPr>
        <w:rFonts w:hint="default" w:ascii="宋体" w:hAnsi="宋体" w:eastAsia="宋体" w:cs="宋体"/>
        <w:b/>
        <w:bCs/>
      </w:rPr>
    </w:lvl>
    <w:lvl w:ilvl="1" w:tentative="0">
      <w:start w:val="1"/>
      <w:numFmt w:val="decimal"/>
      <w:suff w:val="space"/>
      <w:lvlText w:val="(%2)"/>
      <w:lvlJc w:val="left"/>
      <w:pPr>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7">
    <w:nsid w:val="7BFC2F16"/>
    <w:multiLevelType w:val="singleLevel"/>
    <w:tmpl w:val="7BFC2F16"/>
    <w:lvl w:ilvl="0" w:tentative="0">
      <w:start w:val="1"/>
      <w:numFmt w:val="decimal"/>
      <w:suff w:val="nothing"/>
      <w:lvlText w:val="%1."/>
      <w:lvlJc w:val="left"/>
      <w:pPr>
        <w:ind w:left="425" w:hanging="425"/>
      </w:pPr>
      <w:rPr>
        <w:rFonts w:hint="default" w:ascii="宋体" w:hAnsi="宋体" w:eastAsia="宋体" w:cs="宋体"/>
      </w:rPr>
    </w:lvl>
  </w:abstractNum>
  <w:abstractNum w:abstractNumId="8">
    <w:nsid w:val="7DC75328"/>
    <w:multiLevelType w:val="singleLevel"/>
    <w:tmpl w:val="7DC75328"/>
    <w:lvl w:ilvl="0" w:tentative="0">
      <w:start w:val="1"/>
      <w:numFmt w:val="decimal"/>
      <w:suff w:val="nothing"/>
      <w:lvlText w:val="%1."/>
      <w:lvlJc w:val="left"/>
      <w:pPr>
        <w:ind w:left="425" w:hanging="425"/>
      </w:pPr>
      <w:rPr>
        <w:rFonts w:hint="default" w:ascii="宋体" w:hAnsi="宋体" w:eastAsia="宋体" w:cs="宋体"/>
      </w:rPr>
    </w:lvl>
  </w:abstractNum>
  <w:num w:numId="1">
    <w:abstractNumId w:val="1"/>
  </w:num>
  <w:num w:numId="2">
    <w:abstractNumId w:val="7"/>
  </w:num>
  <w:num w:numId="3">
    <w:abstractNumId w:val="3"/>
  </w:num>
  <w:num w:numId="4">
    <w:abstractNumId w:val="0"/>
  </w:num>
  <w:num w:numId="5">
    <w:abstractNumId w:val="4"/>
  </w:num>
  <w:num w:numId="6">
    <w:abstractNumId w:val="2"/>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028A"/>
    <w:rsid w:val="000435C7"/>
    <w:rsid w:val="00060742"/>
    <w:rsid w:val="00076A61"/>
    <w:rsid w:val="0008330E"/>
    <w:rsid w:val="000865C9"/>
    <w:rsid w:val="000900BD"/>
    <w:rsid w:val="00096BC8"/>
    <w:rsid w:val="000A187D"/>
    <w:rsid w:val="000A47F5"/>
    <w:rsid w:val="000C2C79"/>
    <w:rsid w:val="000D3A75"/>
    <w:rsid w:val="000D6A11"/>
    <w:rsid w:val="000E0315"/>
    <w:rsid w:val="000E2273"/>
    <w:rsid w:val="00100CAF"/>
    <w:rsid w:val="001049CF"/>
    <w:rsid w:val="00105D4D"/>
    <w:rsid w:val="00137028"/>
    <w:rsid w:val="00142AD5"/>
    <w:rsid w:val="001457E6"/>
    <w:rsid w:val="001541D5"/>
    <w:rsid w:val="00156B38"/>
    <w:rsid w:val="00161BA6"/>
    <w:rsid w:val="00164634"/>
    <w:rsid w:val="00175F20"/>
    <w:rsid w:val="00190814"/>
    <w:rsid w:val="00197556"/>
    <w:rsid w:val="001A6F43"/>
    <w:rsid w:val="001B0629"/>
    <w:rsid w:val="001C5DBB"/>
    <w:rsid w:val="001D4A4D"/>
    <w:rsid w:val="001D4D16"/>
    <w:rsid w:val="001E13B4"/>
    <w:rsid w:val="001E3D00"/>
    <w:rsid w:val="001E4492"/>
    <w:rsid w:val="001F52A4"/>
    <w:rsid w:val="00203E58"/>
    <w:rsid w:val="00207852"/>
    <w:rsid w:val="00216093"/>
    <w:rsid w:val="002520F7"/>
    <w:rsid w:val="00281AFC"/>
    <w:rsid w:val="00286334"/>
    <w:rsid w:val="0029571A"/>
    <w:rsid w:val="00296EE0"/>
    <w:rsid w:val="002A3847"/>
    <w:rsid w:val="002B3D02"/>
    <w:rsid w:val="002D75EE"/>
    <w:rsid w:val="002F63D4"/>
    <w:rsid w:val="003150E2"/>
    <w:rsid w:val="00327EEE"/>
    <w:rsid w:val="00332502"/>
    <w:rsid w:val="00337E87"/>
    <w:rsid w:val="00341AB8"/>
    <w:rsid w:val="00347403"/>
    <w:rsid w:val="00347B37"/>
    <w:rsid w:val="00352473"/>
    <w:rsid w:val="00352584"/>
    <w:rsid w:val="00353F7F"/>
    <w:rsid w:val="00355271"/>
    <w:rsid w:val="0035537F"/>
    <w:rsid w:val="00357E90"/>
    <w:rsid w:val="00370D16"/>
    <w:rsid w:val="003800D7"/>
    <w:rsid w:val="00396A45"/>
    <w:rsid w:val="003B4F63"/>
    <w:rsid w:val="003C0044"/>
    <w:rsid w:val="003D46E9"/>
    <w:rsid w:val="003E319B"/>
    <w:rsid w:val="003F5E6A"/>
    <w:rsid w:val="00403232"/>
    <w:rsid w:val="00405F4D"/>
    <w:rsid w:val="0041608F"/>
    <w:rsid w:val="0042718B"/>
    <w:rsid w:val="004354CF"/>
    <w:rsid w:val="00443DDD"/>
    <w:rsid w:val="00447863"/>
    <w:rsid w:val="00457E43"/>
    <w:rsid w:val="00460A99"/>
    <w:rsid w:val="00467BA9"/>
    <w:rsid w:val="00491FB6"/>
    <w:rsid w:val="004A5DE7"/>
    <w:rsid w:val="004B62A1"/>
    <w:rsid w:val="004C39CC"/>
    <w:rsid w:val="004E1D0F"/>
    <w:rsid w:val="004E24ED"/>
    <w:rsid w:val="004E2959"/>
    <w:rsid w:val="005079EB"/>
    <w:rsid w:val="00511928"/>
    <w:rsid w:val="005230C0"/>
    <w:rsid w:val="00524258"/>
    <w:rsid w:val="00536AF5"/>
    <w:rsid w:val="00543EB6"/>
    <w:rsid w:val="0055093F"/>
    <w:rsid w:val="005522F5"/>
    <w:rsid w:val="00574743"/>
    <w:rsid w:val="00580B22"/>
    <w:rsid w:val="00583E89"/>
    <w:rsid w:val="00596FEF"/>
    <w:rsid w:val="005972E3"/>
    <w:rsid w:val="005A255A"/>
    <w:rsid w:val="005B190B"/>
    <w:rsid w:val="005C42E9"/>
    <w:rsid w:val="005C5CF2"/>
    <w:rsid w:val="005E1561"/>
    <w:rsid w:val="005E29AD"/>
    <w:rsid w:val="005E3093"/>
    <w:rsid w:val="00603D71"/>
    <w:rsid w:val="006158E7"/>
    <w:rsid w:val="00620C58"/>
    <w:rsid w:val="00652ADC"/>
    <w:rsid w:val="00655A01"/>
    <w:rsid w:val="00660A18"/>
    <w:rsid w:val="0067026C"/>
    <w:rsid w:val="00670DAA"/>
    <w:rsid w:val="00686BA2"/>
    <w:rsid w:val="006A5F6C"/>
    <w:rsid w:val="006C1852"/>
    <w:rsid w:val="006F0334"/>
    <w:rsid w:val="007049A2"/>
    <w:rsid w:val="00704AFC"/>
    <w:rsid w:val="00707203"/>
    <w:rsid w:val="00711DA3"/>
    <w:rsid w:val="007205FC"/>
    <w:rsid w:val="00721F14"/>
    <w:rsid w:val="007365D5"/>
    <w:rsid w:val="00742C56"/>
    <w:rsid w:val="0074593A"/>
    <w:rsid w:val="00757497"/>
    <w:rsid w:val="0076058F"/>
    <w:rsid w:val="00763BF2"/>
    <w:rsid w:val="00770A56"/>
    <w:rsid w:val="00774088"/>
    <w:rsid w:val="007813D5"/>
    <w:rsid w:val="007900B6"/>
    <w:rsid w:val="00792C2C"/>
    <w:rsid w:val="007A0631"/>
    <w:rsid w:val="007C14F6"/>
    <w:rsid w:val="007C508A"/>
    <w:rsid w:val="007E2181"/>
    <w:rsid w:val="007F3ABF"/>
    <w:rsid w:val="008019B9"/>
    <w:rsid w:val="0080286E"/>
    <w:rsid w:val="0080786A"/>
    <w:rsid w:val="00817FA8"/>
    <w:rsid w:val="008277A3"/>
    <w:rsid w:val="00830BB9"/>
    <w:rsid w:val="008321E6"/>
    <w:rsid w:val="00833952"/>
    <w:rsid w:val="008339E4"/>
    <w:rsid w:val="00845F31"/>
    <w:rsid w:val="00850B0F"/>
    <w:rsid w:val="00887A9C"/>
    <w:rsid w:val="00891AF4"/>
    <w:rsid w:val="008B1C9E"/>
    <w:rsid w:val="008B4CDF"/>
    <w:rsid w:val="008B7C8E"/>
    <w:rsid w:val="008C3AD4"/>
    <w:rsid w:val="008C7E6E"/>
    <w:rsid w:val="008C7E8D"/>
    <w:rsid w:val="008D5747"/>
    <w:rsid w:val="008F449B"/>
    <w:rsid w:val="008F4725"/>
    <w:rsid w:val="009102CF"/>
    <w:rsid w:val="00935F7A"/>
    <w:rsid w:val="00943730"/>
    <w:rsid w:val="009511A3"/>
    <w:rsid w:val="009662D0"/>
    <w:rsid w:val="009772CD"/>
    <w:rsid w:val="00987606"/>
    <w:rsid w:val="009A68E2"/>
    <w:rsid w:val="009B2026"/>
    <w:rsid w:val="009C5F4D"/>
    <w:rsid w:val="009D1359"/>
    <w:rsid w:val="009D156C"/>
    <w:rsid w:val="009E3445"/>
    <w:rsid w:val="009F6643"/>
    <w:rsid w:val="009F68EF"/>
    <w:rsid w:val="009F777D"/>
    <w:rsid w:val="00A01676"/>
    <w:rsid w:val="00A26A78"/>
    <w:rsid w:val="00A36155"/>
    <w:rsid w:val="00A431C3"/>
    <w:rsid w:val="00A5672C"/>
    <w:rsid w:val="00A608E8"/>
    <w:rsid w:val="00A67B81"/>
    <w:rsid w:val="00A74203"/>
    <w:rsid w:val="00A76CF0"/>
    <w:rsid w:val="00AB53A4"/>
    <w:rsid w:val="00AD0E08"/>
    <w:rsid w:val="00AD1A53"/>
    <w:rsid w:val="00AE37FF"/>
    <w:rsid w:val="00AE58E9"/>
    <w:rsid w:val="00AE5D94"/>
    <w:rsid w:val="00AE73B7"/>
    <w:rsid w:val="00B12C54"/>
    <w:rsid w:val="00B2348D"/>
    <w:rsid w:val="00B2537B"/>
    <w:rsid w:val="00B2634B"/>
    <w:rsid w:val="00B308DC"/>
    <w:rsid w:val="00B37751"/>
    <w:rsid w:val="00B4440E"/>
    <w:rsid w:val="00B46C4F"/>
    <w:rsid w:val="00B50F12"/>
    <w:rsid w:val="00B65057"/>
    <w:rsid w:val="00B81BD2"/>
    <w:rsid w:val="00BB02AE"/>
    <w:rsid w:val="00BB3B7E"/>
    <w:rsid w:val="00BD17D3"/>
    <w:rsid w:val="00C02FEA"/>
    <w:rsid w:val="00C038EF"/>
    <w:rsid w:val="00C04C9E"/>
    <w:rsid w:val="00C12664"/>
    <w:rsid w:val="00C35962"/>
    <w:rsid w:val="00C4505F"/>
    <w:rsid w:val="00C51F87"/>
    <w:rsid w:val="00C64792"/>
    <w:rsid w:val="00C6601E"/>
    <w:rsid w:val="00C70045"/>
    <w:rsid w:val="00C73B6E"/>
    <w:rsid w:val="00C85D73"/>
    <w:rsid w:val="00C90A49"/>
    <w:rsid w:val="00C92019"/>
    <w:rsid w:val="00CA15C5"/>
    <w:rsid w:val="00CA5521"/>
    <w:rsid w:val="00CA7A5F"/>
    <w:rsid w:val="00CB2876"/>
    <w:rsid w:val="00CC1F90"/>
    <w:rsid w:val="00CC3B5C"/>
    <w:rsid w:val="00CC666C"/>
    <w:rsid w:val="00CD2D3F"/>
    <w:rsid w:val="00CE5FF6"/>
    <w:rsid w:val="00CF7BB4"/>
    <w:rsid w:val="00D16BF6"/>
    <w:rsid w:val="00D207F0"/>
    <w:rsid w:val="00D21058"/>
    <w:rsid w:val="00D25503"/>
    <w:rsid w:val="00D300E9"/>
    <w:rsid w:val="00D465B7"/>
    <w:rsid w:val="00D51007"/>
    <w:rsid w:val="00D54F97"/>
    <w:rsid w:val="00D65F5E"/>
    <w:rsid w:val="00D72C03"/>
    <w:rsid w:val="00D80F9A"/>
    <w:rsid w:val="00D83FD9"/>
    <w:rsid w:val="00DA2958"/>
    <w:rsid w:val="00DA487C"/>
    <w:rsid w:val="00DB56A5"/>
    <w:rsid w:val="00DB7302"/>
    <w:rsid w:val="00DB7537"/>
    <w:rsid w:val="00DD58A6"/>
    <w:rsid w:val="00DD5E12"/>
    <w:rsid w:val="00DD691B"/>
    <w:rsid w:val="00E22BC9"/>
    <w:rsid w:val="00E233F5"/>
    <w:rsid w:val="00E44C56"/>
    <w:rsid w:val="00E508FF"/>
    <w:rsid w:val="00E54517"/>
    <w:rsid w:val="00E64F5E"/>
    <w:rsid w:val="00E72230"/>
    <w:rsid w:val="00E77787"/>
    <w:rsid w:val="00E8232D"/>
    <w:rsid w:val="00E84523"/>
    <w:rsid w:val="00E939D2"/>
    <w:rsid w:val="00E97033"/>
    <w:rsid w:val="00EB265D"/>
    <w:rsid w:val="00EB5937"/>
    <w:rsid w:val="00EC3FDA"/>
    <w:rsid w:val="00EC6DC2"/>
    <w:rsid w:val="00ED2B75"/>
    <w:rsid w:val="00ED718B"/>
    <w:rsid w:val="00ED79DB"/>
    <w:rsid w:val="00EE1D8B"/>
    <w:rsid w:val="00EE2174"/>
    <w:rsid w:val="00F0695D"/>
    <w:rsid w:val="00F10EAA"/>
    <w:rsid w:val="00F24C40"/>
    <w:rsid w:val="00F3050D"/>
    <w:rsid w:val="00F324E5"/>
    <w:rsid w:val="00F42BF9"/>
    <w:rsid w:val="00F562B0"/>
    <w:rsid w:val="00F65692"/>
    <w:rsid w:val="00F90C12"/>
    <w:rsid w:val="00F92D41"/>
    <w:rsid w:val="00F93578"/>
    <w:rsid w:val="00FA223D"/>
    <w:rsid w:val="00FA34F1"/>
    <w:rsid w:val="00FC15A6"/>
    <w:rsid w:val="00FC5E2E"/>
    <w:rsid w:val="00FC6268"/>
    <w:rsid w:val="00FF2659"/>
    <w:rsid w:val="00FF28AC"/>
    <w:rsid w:val="04B24273"/>
    <w:rsid w:val="091219D0"/>
    <w:rsid w:val="10543983"/>
    <w:rsid w:val="1AE17EB2"/>
    <w:rsid w:val="1E4E4CBF"/>
    <w:rsid w:val="2A3B0346"/>
    <w:rsid w:val="2DC575CF"/>
    <w:rsid w:val="412A3C6C"/>
    <w:rsid w:val="4ACC7C56"/>
    <w:rsid w:val="4FEA2E66"/>
    <w:rsid w:val="56550ED5"/>
    <w:rsid w:val="5C1F54B9"/>
    <w:rsid w:val="5E587521"/>
    <w:rsid w:val="62411194"/>
    <w:rsid w:val="62992362"/>
    <w:rsid w:val="65DA2DB8"/>
    <w:rsid w:val="77985D7D"/>
    <w:rsid w:val="77BF66BB"/>
    <w:rsid w:val="78E15508"/>
    <w:rsid w:val="7B80502B"/>
    <w:rsid w:val="7D430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3" w:firstLineChars="200"/>
      <w:jc w:val="both"/>
    </w:pPr>
    <w:rPr>
      <w:rFonts w:asciiTheme="minorAscii" w:hAnsiTheme="minorAscii" w:eastAsiaTheme="minorEastAsia" w:cstheme="minorBidi"/>
      <w:kern w:val="2"/>
      <w:sz w:val="21"/>
      <w:szCs w:val="22"/>
      <w:lang w:val="en-US" w:eastAsia="zh-CN" w:bidi="ar-SA"/>
    </w:rPr>
  </w:style>
  <w:style w:type="paragraph" w:styleId="2">
    <w:name w:val="heading 1"/>
    <w:basedOn w:val="1"/>
    <w:link w:val="23"/>
    <w:qFormat/>
    <w:uiPriority w:val="9"/>
    <w:pPr>
      <w:widowControl/>
      <w:spacing w:before="50" w:beforeLines="50" w:beforeAutospacing="0" w:after="50" w:afterLines="50" w:afterAutospacing="0"/>
      <w:ind w:firstLine="0" w:firstLineChars="0"/>
      <w:jc w:val="left"/>
      <w:outlineLvl w:val="0"/>
    </w:pPr>
    <w:rPr>
      <w:rFonts w:ascii="宋体" w:hAnsi="宋体" w:eastAsia="宋体" w:cs="宋体"/>
      <w:b/>
      <w:bCs/>
      <w:kern w:val="36"/>
      <w:sz w:val="24"/>
      <w:szCs w:val="48"/>
    </w:rPr>
  </w:style>
  <w:style w:type="paragraph" w:styleId="3">
    <w:name w:val="heading 2"/>
    <w:basedOn w:val="1"/>
    <w:next w:val="1"/>
    <w:unhideWhenUsed/>
    <w:qFormat/>
    <w:uiPriority w:val="9"/>
    <w:pPr>
      <w:keepNext/>
      <w:keepLines/>
      <w:spacing w:before="120" w:beforeLines="0" w:beforeAutospacing="0" w:after="120" w:afterLines="0" w:afterAutospacing="0" w:line="240" w:lineRule="auto"/>
      <w:outlineLvl w:val="1"/>
    </w:pPr>
    <w:rPr>
      <w:rFonts w:ascii="Arial" w:hAnsi="Arial" w:eastAsia="宋体"/>
      <w:sz w:val="21"/>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annotation text"/>
    <w:basedOn w:val="1"/>
    <w:link w:val="18"/>
    <w:semiHidden/>
    <w:unhideWhenUsed/>
    <w:qFormat/>
    <w:uiPriority w:val="99"/>
    <w:pPr>
      <w:ind w:firstLine="200" w:firstLineChars="200"/>
      <w:jc w:val="left"/>
    </w:pPr>
    <w:rPr>
      <w:rFonts w:ascii="Calibri" w:hAnsi="Calibri" w:eastAsia="宋体" w:cs="Times New Roman"/>
    </w:rPr>
  </w:style>
  <w:style w:type="paragraph" w:styleId="6">
    <w:name w:val="Balloon Text"/>
    <w:basedOn w:val="1"/>
    <w:link w:val="19"/>
    <w:semiHidden/>
    <w:unhideWhenUsed/>
    <w:qFormat/>
    <w:uiPriority w:val="99"/>
    <w:pPr>
      <w:ind w:firstLine="200" w:firstLineChars="200"/>
    </w:pPr>
    <w:rPr>
      <w:rFonts w:ascii="Calibri" w:hAnsi="Calibri" w:eastAsia="宋体" w:cs="Times New Roman"/>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20"/>
    <w:semiHidden/>
    <w:unhideWhenUsed/>
    <w:qFormat/>
    <w:uiPriority w:val="99"/>
    <w:rPr>
      <w:b/>
      <w:bCs/>
    </w:rPr>
  </w:style>
  <w:style w:type="table" w:styleId="12">
    <w:name w:val="Table Grid"/>
    <w:basedOn w:val="11"/>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uiPriority w:val="22"/>
    <w:rPr>
      <w:b/>
      <w:bCs/>
    </w:rPr>
  </w:style>
  <w:style w:type="character" w:styleId="15">
    <w:name w:val="Hyperlink"/>
    <w:unhideWhenUsed/>
    <w:qFormat/>
    <w:uiPriority w:val="99"/>
    <w:rPr>
      <w:color w:val="0000FF" w:themeColor="hyperlink"/>
      <w:u w:val="single"/>
      <w14:textFill>
        <w14:solidFill>
          <w14:schemeClr w14:val="hlink"/>
        </w14:solidFill>
      </w14:textFill>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批注文字 字符"/>
    <w:basedOn w:val="13"/>
    <w:link w:val="5"/>
    <w:semiHidden/>
    <w:qFormat/>
    <w:uiPriority w:val="99"/>
    <w:rPr>
      <w:rFonts w:ascii="Calibri" w:hAnsi="Calibri" w:eastAsia="宋体" w:cs="Times New Roman"/>
    </w:rPr>
  </w:style>
  <w:style w:type="character" w:customStyle="1" w:styleId="19">
    <w:name w:val="批注框文本 字符"/>
    <w:basedOn w:val="13"/>
    <w:link w:val="6"/>
    <w:semiHidden/>
    <w:qFormat/>
    <w:uiPriority w:val="99"/>
    <w:rPr>
      <w:rFonts w:ascii="Calibri" w:hAnsi="Calibri" w:eastAsia="宋体" w:cs="Times New Roman"/>
      <w:sz w:val="18"/>
      <w:szCs w:val="18"/>
    </w:rPr>
  </w:style>
  <w:style w:type="character" w:customStyle="1" w:styleId="20">
    <w:name w:val="批注主题 字符"/>
    <w:basedOn w:val="18"/>
    <w:link w:val="10"/>
    <w:semiHidden/>
    <w:qFormat/>
    <w:uiPriority w:val="99"/>
    <w:rPr>
      <w:rFonts w:ascii="Calibri" w:hAnsi="Calibri" w:eastAsia="宋体" w:cs="Times New Roman"/>
      <w:b/>
      <w:bCs/>
    </w:rPr>
  </w:style>
  <w:style w:type="paragraph" w:styleId="21">
    <w:name w:val="List Paragraph"/>
    <w:basedOn w:val="1"/>
    <w:qFormat/>
    <w:uiPriority w:val="99"/>
    <w:pPr>
      <w:ind w:firstLine="420" w:firstLineChars="200"/>
    </w:pPr>
    <w:rPr>
      <w:rFonts w:ascii="Calibri" w:hAnsi="Calibri" w:eastAsia="宋体" w:cs="Times New Roman"/>
    </w:rPr>
  </w:style>
  <w:style w:type="paragraph" w:styleId="22">
    <w:name w:val="No Spacing"/>
    <w:qFormat/>
    <w:uiPriority w:val="1"/>
    <w:pPr>
      <w:widowControl w:val="0"/>
      <w:ind w:firstLine="200" w:firstLineChars="200"/>
      <w:jc w:val="both"/>
    </w:pPr>
    <w:rPr>
      <w:rFonts w:ascii="Calibri" w:hAnsi="Calibri" w:eastAsia="宋体" w:cs="Times New Roman"/>
      <w:kern w:val="2"/>
      <w:sz w:val="21"/>
      <w:szCs w:val="22"/>
      <w:lang w:val="en-US" w:eastAsia="zh-CN" w:bidi="ar-SA"/>
    </w:rPr>
  </w:style>
  <w:style w:type="character" w:customStyle="1" w:styleId="23">
    <w:name w:val="标题 1 字符"/>
    <w:basedOn w:val="13"/>
    <w:link w:val="2"/>
    <w:qFormat/>
    <w:uiPriority w:val="9"/>
    <w:rPr>
      <w:rFonts w:ascii="宋体" w:hAnsi="宋体" w:eastAsia="宋体" w:cs="宋体"/>
      <w:b/>
      <w:bCs/>
      <w:kern w:val="36"/>
      <w:sz w:val="24"/>
      <w:szCs w:val="48"/>
    </w:r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4377</Words>
  <Characters>4503</Characters>
  <Lines>1</Lines>
  <Paragraphs>1</Paragraphs>
  <TotalTime>5</TotalTime>
  <ScaleCrop>false</ScaleCrop>
  <LinksUpToDate>false</LinksUpToDate>
  <CharactersWithSpaces>4514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2024-08-25T08:27:00Z</dcterms:created>
  <dc:creator>xxzxtest</dc:creator>
  <cp:lastModifiedBy>Verde</cp:lastModifiedBy>
  <cp:lastPrinted>2022-03-31T05:42:00Z</cp:lastPrinted>
  <dcterms:modified xsi:type="dcterms:W3CDTF">2025-04-01T09:09:48Z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eyJoZGlkIjoiMjJkYzBiMmMzZTJmNWZhNTVkY2NmOTg5ODNkNzlhMzEiLCJ1c2VySWQiOiIyODMyNzI0MzQifQ==</vt:lpwstr>
  </property>
  <property fmtid="{D5CDD505-2E9C-101B-9397-08002B2CF9AE}" pid="3" name="KSOProductBuildVer">
    <vt:lpwstr>2052-12.1.0.20784</vt:lpwstr>
  </property>
  <property fmtid="{D5CDD505-2E9C-101B-9397-08002B2CF9AE}" pid="4" name="ICV">
    <vt:lpwstr>EE0B2F7DAD354A42936036330A0EEF07_13</vt:lpwstr>
  </property>
</Properties>
</file>