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Default="007E3033">
      <w:pPr>
        <w:jc w:val="left"/>
        <w:rPr>
          <w:rFonts w:ascii="宋体" w:eastAsia="宋体" w:hAnsi="宋体"/>
          <w:b/>
          <w:sz w:val="24"/>
          <w:szCs w:val="24"/>
        </w:rPr>
      </w:pPr>
      <w:r>
        <w:rPr>
          <w:rFonts w:ascii="宋体" w:eastAsia="宋体" w:hAnsi="宋体" w:hint="eastAsia"/>
          <w:b/>
          <w:sz w:val="28"/>
          <w:szCs w:val="28"/>
        </w:rPr>
        <w:t>北京大学人民医院</w:t>
      </w:r>
      <w:bookmarkStart w:id="0" w:name="_Hlk167918209"/>
      <w:r w:rsidR="009343B5">
        <w:rPr>
          <w:rFonts w:ascii="宋体" w:eastAsia="宋体" w:hAnsi="宋体" w:hint="eastAsia"/>
          <w:b/>
          <w:sz w:val="28"/>
          <w:szCs w:val="28"/>
        </w:rPr>
        <w:t>4</w:t>
      </w:r>
      <w:r w:rsidR="009343B5">
        <w:rPr>
          <w:rFonts w:ascii="宋体" w:eastAsia="宋体" w:hAnsi="宋体"/>
          <w:b/>
          <w:sz w:val="28"/>
          <w:szCs w:val="28"/>
        </w:rPr>
        <w:t>BC</w:t>
      </w:r>
      <w:r w:rsidR="009343B5">
        <w:rPr>
          <w:rFonts w:ascii="宋体" w:eastAsia="宋体" w:hAnsi="宋体" w:hint="eastAsia"/>
          <w:b/>
          <w:sz w:val="28"/>
          <w:szCs w:val="28"/>
        </w:rPr>
        <w:t>敷料间器械架</w:t>
      </w:r>
      <w:r w:rsidR="0072034F">
        <w:rPr>
          <w:rFonts w:ascii="宋体" w:eastAsia="宋体" w:hAnsi="宋体" w:hint="eastAsia"/>
          <w:b/>
          <w:sz w:val="28"/>
          <w:szCs w:val="28"/>
        </w:rPr>
        <w:t>采购项目采购文件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72034F" w:rsidRDefault="0072034F">
      <w:pPr>
        <w:ind w:firstLineChars="200" w:firstLine="420"/>
        <w:jc w:val="left"/>
        <w:rPr>
          <w:rFonts w:ascii="宋体" w:eastAsia="宋体" w:hAnsi="宋体"/>
          <w:szCs w:val="21"/>
        </w:rPr>
      </w:pPr>
      <w:r>
        <w:rPr>
          <w:rFonts w:ascii="宋体" w:eastAsia="宋体" w:hAnsi="宋体" w:hint="eastAsia"/>
          <w:szCs w:val="21"/>
        </w:rPr>
        <w:t>1、项目名称：</w:t>
      </w:r>
      <w:r w:rsidR="009343B5" w:rsidRPr="009343B5">
        <w:rPr>
          <w:rFonts w:ascii="宋体" w:eastAsia="宋体" w:hAnsi="宋体" w:hint="eastAsia"/>
          <w:szCs w:val="21"/>
        </w:rPr>
        <w:t>4</w:t>
      </w:r>
      <w:r w:rsidR="009343B5" w:rsidRPr="009343B5">
        <w:rPr>
          <w:rFonts w:ascii="宋体" w:eastAsia="宋体" w:hAnsi="宋体"/>
          <w:szCs w:val="21"/>
        </w:rPr>
        <w:t>BC</w:t>
      </w:r>
      <w:r w:rsidR="009343B5" w:rsidRPr="009343B5">
        <w:rPr>
          <w:rFonts w:ascii="宋体" w:eastAsia="宋体" w:hAnsi="宋体" w:hint="eastAsia"/>
          <w:szCs w:val="21"/>
        </w:rPr>
        <w:t>敷料间器械架采购项目</w:t>
      </w:r>
    </w:p>
    <w:p w:rsidR="0072034F" w:rsidRDefault="0072034F">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9343B5">
        <w:rPr>
          <w:rFonts w:ascii="宋体" w:eastAsia="宋体" w:hAnsi="宋体" w:hint="eastAsia"/>
          <w:szCs w:val="21"/>
        </w:rPr>
        <w:t>我院</w:t>
      </w:r>
      <w:r w:rsidR="009343B5" w:rsidRPr="009343B5">
        <w:rPr>
          <w:rFonts w:ascii="宋体" w:eastAsia="宋体" w:hAnsi="宋体" w:hint="eastAsia"/>
          <w:szCs w:val="21"/>
        </w:rPr>
        <w:t>4</w:t>
      </w:r>
      <w:r w:rsidR="009343B5" w:rsidRPr="009343B5">
        <w:rPr>
          <w:rFonts w:ascii="宋体" w:eastAsia="宋体" w:hAnsi="宋体"/>
          <w:szCs w:val="21"/>
        </w:rPr>
        <w:t>BC</w:t>
      </w:r>
      <w:r w:rsidR="009343B5" w:rsidRPr="009343B5">
        <w:rPr>
          <w:rFonts w:ascii="宋体" w:eastAsia="宋体" w:hAnsi="宋体" w:hint="eastAsia"/>
          <w:szCs w:val="21"/>
        </w:rPr>
        <w:t>敷料间</w:t>
      </w:r>
      <w:r w:rsidR="009343B5">
        <w:rPr>
          <w:rFonts w:ascii="宋体" w:eastAsia="宋体" w:hAnsi="宋体" w:hint="eastAsia"/>
          <w:szCs w:val="21"/>
        </w:rPr>
        <w:t>需采购</w:t>
      </w:r>
      <w:r w:rsidR="009343B5" w:rsidRPr="009343B5">
        <w:rPr>
          <w:rFonts w:ascii="宋体" w:eastAsia="宋体" w:hAnsi="宋体" w:hint="eastAsia"/>
          <w:szCs w:val="21"/>
        </w:rPr>
        <w:t>器械架</w:t>
      </w:r>
      <w:r w:rsidR="009343B5">
        <w:rPr>
          <w:rFonts w:ascii="宋体" w:eastAsia="宋体" w:hAnsi="宋体" w:hint="eastAsia"/>
          <w:szCs w:val="21"/>
        </w:rPr>
        <w:t>一批</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9343B5">
        <w:rPr>
          <w:rFonts w:ascii="宋体" w:eastAsia="宋体" w:hAnsi="宋体" w:hint="eastAsia"/>
          <w:szCs w:val="21"/>
        </w:rPr>
        <w:t>1</w:t>
      </w:r>
      <w:r w:rsidR="009343B5">
        <w:rPr>
          <w:rFonts w:ascii="宋体" w:eastAsia="宋体" w:hAnsi="宋体"/>
          <w:szCs w:val="21"/>
        </w:rPr>
        <w:t>8.7</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w:t>
      </w:r>
      <w:r w:rsidR="008708FC">
        <w:rPr>
          <w:rFonts w:ascii="宋体" w:eastAsia="宋体" w:hAnsi="宋体"/>
          <w:szCs w:val="21"/>
        </w:rPr>
        <w:t>5</w:t>
      </w:r>
      <w:r>
        <w:rPr>
          <w:rFonts w:ascii="宋体" w:eastAsia="宋体" w:hAnsi="宋体" w:hint="eastAsia"/>
          <w:szCs w:val="21"/>
        </w:rPr>
        <w:t>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583DFE"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w:t>
      </w:r>
    </w:p>
    <w:p w:rsidR="0072034F" w:rsidRDefault="0072034F">
      <w:pPr>
        <w:ind w:firstLineChars="200" w:firstLine="420"/>
        <w:jc w:val="left"/>
        <w:rPr>
          <w:rFonts w:ascii="宋体" w:eastAsia="宋体" w:hAnsi="宋体"/>
          <w:szCs w:val="21"/>
        </w:rPr>
      </w:pPr>
      <w:r>
        <w:rPr>
          <w:rFonts w:ascii="宋体" w:eastAsia="宋体" w:hAnsi="宋体" w:hint="eastAsia"/>
          <w:szCs w:val="21"/>
        </w:rPr>
        <w:t>，提供自成立至今的财务报表或近半年银行出具的资信证明材料。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9343B5">
        <w:rPr>
          <w:rFonts w:ascii="宋体" w:eastAsia="宋体" w:hAnsi="宋体"/>
          <w:szCs w:val="21"/>
        </w:rPr>
        <w:t>6</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p w:rsidR="00A62085" w:rsidRPr="007833BB" w:rsidRDefault="007833BB" w:rsidP="007833BB">
      <w:pPr>
        <w:ind w:firstLine="420"/>
        <w:jc w:val="left"/>
        <w:rPr>
          <w:rFonts w:ascii="宋体" w:eastAsia="宋体" w:hAnsi="宋体"/>
          <w:szCs w:val="21"/>
        </w:rPr>
      </w:pPr>
      <w:r w:rsidRPr="007833BB">
        <w:rPr>
          <w:rFonts w:ascii="宋体" w:eastAsia="宋体" w:hAnsi="宋体" w:hint="eastAsia"/>
          <w:szCs w:val="21"/>
        </w:rPr>
        <w:t>1.</w:t>
      </w:r>
      <w:r w:rsidR="007E3033" w:rsidRPr="007833BB">
        <w:rPr>
          <w:rFonts w:ascii="宋体" w:eastAsia="宋体" w:hAnsi="宋体" w:hint="eastAsia"/>
          <w:szCs w:val="21"/>
        </w:rPr>
        <w:t>技术参数要求</w:t>
      </w:r>
    </w:p>
    <w:tbl>
      <w:tblPr>
        <w:tblW w:w="8075" w:type="dxa"/>
        <w:tblLook w:val="04A0" w:firstRow="1" w:lastRow="0" w:firstColumn="1" w:lastColumn="0" w:noHBand="0" w:noVBand="1"/>
      </w:tblPr>
      <w:tblGrid>
        <w:gridCol w:w="1555"/>
        <w:gridCol w:w="3118"/>
        <w:gridCol w:w="1418"/>
        <w:gridCol w:w="992"/>
        <w:gridCol w:w="992"/>
      </w:tblGrid>
      <w:tr w:rsidR="00663F60" w:rsidRPr="001F695A" w:rsidTr="00663F60">
        <w:trPr>
          <w:trHeight w:val="662"/>
        </w:trPr>
        <w:tc>
          <w:tcPr>
            <w:tcW w:w="15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品名</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产品图片</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尺寸</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数量</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单位</w:t>
            </w:r>
          </w:p>
        </w:tc>
      </w:tr>
      <w:tr w:rsidR="00663F60" w:rsidRPr="001F695A" w:rsidTr="00663F60">
        <w:trPr>
          <w:trHeight w:val="2760"/>
        </w:trPr>
        <w:tc>
          <w:tcPr>
            <w:tcW w:w="1555" w:type="dxa"/>
            <w:tcBorders>
              <w:top w:val="nil"/>
              <w:left w:val="single" w:sz="4" w:space="0" w:color="auto"/>
              <w:bottom w:val="single" w:sz="4" w:space="0" w:color="auto"/>
              <w:right w:val="single" w:sz="4" w:space="0" w:color="auto"/>
            </w:tcBorders>
            <w:shd w:val="clear" w:color="auto" w:fill="auto"/>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304不锈钢货架</w:t>
            </w:r>
          </w:p>
        </w:tc>
        <w:tc>
          <w:tcPr>
            <w:tcW w:w="3118" w:type="dxa"/>
            <w:tcBorders>
              <w:top w:val="nil"/>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FF"/>
                <w:kern w:val="0"/>
                <w:sz w:val="18"/>
                <w:szCs w:val="18"/>
                <w:u w:val="single"/>
              </w:rPr>
            </w:pPr>
            <w:r w:rsidRPr="00E92377">
              <w:rPr>
                <w:rFonts w:ascii="楷体" w:eastAsia="楷体" w:hAnsi="楷体" w:cs="宋体" w:hint="eastAsia"/>
                <w:noProof/>
                <w:color w:val="0000FF"/>
                <w:kern w:val="0"/>
                <w:sz w:val="18"/>
                <w:szCs w:val="18"/>
              </w:rPr>
              <w:drawing>
                <wp:anchor distT="0" distB="0" distL="114300" distR="114300" simplePos="0" relativeHeight="251671552" behindDoc="0" locked="0" layoutInCell="1" allowOverlap="1" wp14:anchorId="72C4EB73" wp14:editId="078985A1">
                  <wp:simplePos x="0" y="0"/>
                  <wp:positionH relativeFrom="column">
                    <wp:posOffset>265430</wp:posOffset>
                  </wp:positionH>
                  <wp:positionV relativeFrom="paragraph">
                    <wp:posOffset>125730</wp:posOffset>
                  </wp:positionV>
                  <wp:extent cx="1333500" cy="1501775"/>
                  <wp:effectExtent l="0" t="0" r="0" b="3175"/>
                  <wp:wrapNone/>
                  <wp:docPr id="2" name="图片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picture">
                      <pic:pic xmlns:pic="http://schemas.openxmlformats.org/drawingml/2006/picture">
                        <pic:nvPicPr>
                          <pic:cNvPr id="2" name="图片 1">
                            <a:extLst>
                              <a:ext uri="{FF2B5EF4-FFF2-40B4-BE49-F238E27FC236}">
                                <a16:creationId xmlns:a16="http://schemas.microsoft.com/office/drawing/2014/main" id="{00000000-0008-0000-0100-000002000000}"/>
                              </a:ext>
                            </a:extLst>
                          </pic:cNvPr>
                          <pic:cNvPicPr>
                            <a:picLocks noChangeAspect="1"/>
                          </pic:cNvPicPr>
                        </pic:nvPicPr>
                        <pic:blipFill>
                          <a:blip r:embed="rId8"/>
                          <a:stretch>
                            <a:fillRect/>
                          </a:stretch>
                        </pic:blipFill>
                        <pic:spPr>
                          <a:xfrm>
                            <a:off x="0" y="0"/>
                            <a:ext cx="1333500" cy="1501775"/>
                          </a:xfrm>
                          <a:prstGeom prst="rect">
                            <a:avLst/>
                          </a:prstGeom>
                          <a:noFill/>
                          <a:ln w="9525">
                            <a:noFill/>
                          </a:ln>
                        </pic:spPr>
                      </pic:pic>
                    </a:graphicData>
                  </a:graphic>
                  <wp14:sizeRelH relativeFrom="page">
                    <wp14:pctWidth>0</wp14:pctWidth>
                  </wp14:sizeRelH>
                  <wp14:sizeRelV relativeFrom="page">
                    <wp14:pctHeight>0</wp14:pctHeight>
                  </wp14:sizeRelV>
                </wp:anchor>
              </w:drawing>
            </w:r>
          </w:p>
        </w:tc>
        <w:tc>
          <w:tcPr>
            <w:tcW w:w="1418" w:type="dxa"/>
            <w:tcBorders>
              <w:top w:val="nil"/>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2000*600*1890</w:t>
            </w:r>
          </w:p>
        </w:tc>
        <w:tc>
          <w:tcPr>
            <w:tcW w:w="992" w:type="dxa"/>
            <w:tcBorders>
              <w:top w:val="nil"/>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17</w:t>
            </w:r>
          </w:p>
        </w:tc>
        <w:tc>
          <w:tcPr>
            <w:tcW w:w="992" w:type="dxa"/>
            <w:tcBorders>
              <w:top w:val="nil"/>
              <w:left w:val="nil"/>
              <w:bottom w:val="single" w:sz="4" w:space="0" w:color="auto"/>
              <w:right w:val="single" w:sz="4" w:space="0" w:color="auto"/>
            </w:tcBorders>
            <w:shd w:val="clear" w:color="000000" w:fill="FFFFFF"/>
            <w:vAlign w:val="center"/>
            <w:hideMark/>
          </w:tcPr>
          <w:p w:rsidR="00663F60" w:rsidRPr="001F695A" w:rsidRDefault="00663F60" w:rsidP="001F695A">
            <w:pPr>
              <w:widowControl/>
              <w:jc w:val="center"/>
              <w:rPr>
                <w:rFonts w:ascii="楷体" w:eastAsia="楷体" w:hAnsi="楷体" w:cs="宋体"/>
                <w:color w:val="000000"/>
                <w:kern w:val="0"/>
                <w:sz w:val="18"/>
                <w:szCs w:val="18"/>
              </w:rPr>
            </w:pPr>
            <w:proofErr w:type="gramStart"/>
            <w:r w:rsidRPr="001F695A">
              <w:rPr>
                <w:rFonts w:ascii="楷体" w:eastAsia="楷体" w:hAnsi="楷体" w:cs="宋体" w:hint="eastAsia"/>
                <w:color w:val="000000"/>
                <w:kern w:val="0"/>
                <w:sz w:val="18"/>
                <w:szCs w:val="18"/>
              </w:rPr>
              <w:t>个</w:t>
            </w:r>
            <w:proofErr w:type="gramEnd"/>
          </w:p>
        </w:tc>
      </w:tr>
    </w:tbl>
    <w:p w:rsidR="00663F60" w:rsidRDefault="002608F0">
      <w:pPr>
        <w:ind w:firstLineChars="200" w:firstLine="420"/>
        <w:jc w:val="left"/>
        <w:rPr>
          <w:rFonts w:ascii="宋体" w:eastAsia="宋体" w:hAnsi="宋体"/>
          <w:szCs w:val="21"/>
        </w:rPr>
      </w:pPr>
      <w:r>
        <w:rPr>
          <w:rFonts w:ascii="宋体" w:eastAsia="宋体" w:hAnsi="宋体" w:hint="eastAsia"/>
          <w:szCs w:val="21"/>
        </w:rPr>
        <w:t>2</w:t>
      </w:r>
      <w:r>
        <w:rPr>
          <w:rFonts w:ascii="宋体" w:eastAsia="宋体" w:hAnsi="宋体"/>
          <w:szCs w:val="21"/>
        </w:rPr>
        <w:t>.</w:t>
      </w:r>
      <w:r w:rsidR="00663F60">
        <w:rPr>
          <w:rFonts w:ascii="宋体" w:eastAsia="宋体" w:hAnsi="宋体" w:hint="eastAsia"/>
          <w:szCs w:val="21"/>
        </w:rPr>
        <w:t>货架整体采用1</w:t>
      </w:r>
      <w:r w:rsidR="00663F60">
        <w:rPr>
          <w:rFonts w:ascii="宋体" w:eastAsia="宋体" w:hAnsi="宋体"/>
          <w:szCs w:val="21"/>
        </w:rPr>
        <w:t>.2MM</w:t>
      </w:r>
      <w:r w:rsidR="00663F60">
        <w:rPr>
          <w:rFonts w:ascii="宋体" w:eastAsia="宋体" w:hAnsi="宋体" w:hint="eastAsia"/>
          <w:szCs w:val="21"/>
        </w:rPr>
        <w:t>厚度</w:t>
      </w:r>
      <w:r w:rsidR="00663F60">
        <w:rPr>
          <w:rFonts w:ascii="宋体" w:eastAsia="宋体" w:hAnsi="宋体"/>
          <w:szCs w:val="21"/>
        </w:rPr>
        <w:t>304</w:t>
      </w:r>
      <w:r w:rsidR="00663F60">
        <w:rPr>
          <w:rFonts w:ascii="宋体" w:eastAsia="宋体" w:hAnsi="宋体" w:hint="eastAsia"/>
          <w:szCs w:val="21"/>
        </w:rPr>
        <w:t>不锈钢货架，耐腐蚀性强，适用于食品加工医疗设备等处。</w:t>
      </w:r>
    </w:p>
    <w:p w:rsidR="00663F60" w:rsidRDefault="00663F60">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w:t>
      </w:r>
      <w:r>
        <w:rPr>
          <w:rFonts w:ascii="宋体" w:eastAsia="宋体" w:hAnsi="宋体" w:hint="eastAsia"/>
          <w:szCs w:val="21"/>
        </w:rPr>
        <w:t>框架整体采用2</w:t>
      </w:r>
      <w:r>
        <w:rPr>
          <w:rFonts w:ascii="宋体" w:eastAsia="宋体" w:hAnsi="宋体"/>
          <w:szCs w:val="21"/>
        </w:rPr>
        <w:t>5</w:t>
      </w:r>
      <w:r>
        <w:rPr>
          <w:rFonts w:ascii="宋体" w:eastAsia="宋体" w:hAnsi="宋体" w:hint="eastAsia"/>
          <w:szCs w:val="21"/>
        </w:rPr>
        <w:t>方管焊接，层板为1</w:t>
      </w:r>
      <w:r>
        <w:rPr>
          <w:rFonts w:ascii="宋体" w:eastAsia="宋体" w:hAnsi="宋体"/>
          <w:szCs w:val="21"/>
        </w:rPr>
        <w:t>.0MM</w:t>
      </w:r>
      <w:r>
        <w:rPr>
          <w:rFonts w:ascii="宋体" w:eastAsia="宋体" w:hAnsi="宋体" w:hint="eastAsia"/>
          <w:szCs w:val="21"/>
        </w:rPr>
        <w:t>洞洞板，方管边框，称重达到2</w:t>
      </w:r>
      <w:r>
        <w:rPr>
          <w:rFonts w:ascii="宋体" w:eastAsia="宋体" w:hAnsi="宋体"/>
          <w:szCs w:val="21"/>
        </w:rPr>
        <w:t>00</w:t>
      </w:r>
      <w:r>
        <w:rPr>
          <w:rFonts w:ascii="宋体" w:eastAsia="宋体" w:hAnsi="宋体" w:hint="eastAsia"/>
          <w:szCs w:val="21"/>
        </w:rPr>
        <w:t>kg每</w:t>
      </w:r>
      <w:r>
        <w:rPr>
          <w:rFonts w:ascii="宋体" w:eastAsia="宋体" w:hAnsi="宋体" w:hint="eastAsia"/>
          <w:szCs w:val="21"/>
        </w:rPr>
        <w:lastRenderedPageBreak/>
        <w:t>层。</w:t>
      </w:r>
    </w:p>
    <w:p w:rsidR="00663F60" w:rsidRDefault="00663F60">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w:t>
      </w:r>
      <w:r>
        <w:rPr>
          <w:rFonts w:ascii="宋体" w:eastAsia="宋体" w:hAnsi="宋体" w:hint="eastAsia"/>
          <w:szCs w:val="21"/>
        </w:rPr>
        <w:t>两侧含封板，钢架整体成型</w:t>
      </w:r>
      <w:proofErr w:type="gramStart"/>
      <w:r>
        <w:rPr>
          <w:rFonts w:ascii="宋体" w:eastAsia="宋体" w:hAnsi="宋体" w:hint="eastAsia"/>
          <w:szCs w:val="21"/>
        </w:rPr>
        <w:t>后应方正</w:t>
      </w:r>
      <w:proofErr w:type="gramEnd"/>
      <w:r>
        <w:rPr>
          <w:rFonts w:ascii="宋体" w:eastAsia="宋体" w:hAnsi="宋体" w:hint="eastAsia"/>
          <w:szCs w:val="21"/>
        </w:rPr>
        <w:t>平直，焊接不变形，打磨精抛光表面处理后无划痕，锐角无毛刺。</w:t>
      </w:r>
    </w:p>
    <w:p w:rsidR="00663F60" w:rsidRDefault="00663F60">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w:t>
      </w:r>
      <w:r>
        <w:rPr>
          <w:rFonts w:ascii="宋体" w:eastAsia="宋体" w:hAnsi="宋体" w:hint="eastAsia"/>
          <w:szCs w:val="21"/>
        </w:rPr>
        <w:t>每层净高1</w:t>
      </w:r>
      <w:r>
        <w:rPr>
          <w:rFonts w:ascii="宋体" w:eastAsia="宋体" w:hAnsi="宋体"/>
          <w:szCs w:val="21"/>
        </w:rPr>
        <w:t>60MM</w:t>
      </w:r>
      <w:r>
        <w:rPr>
          <w:rFonts w:ascii="宋体" w:eastAsia="宋体" w:hAnsi="宋体" w:hint="eastAsia"/>
          <w:szCs w:val="21"/>
        </w:rPr>
        <w:t>，前后无板，左右封板。</w:t>
      </w:r>
    </w:p>
    <w:p w:rsidR="00D40617" w:rsidRDefault="00D40617">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w:t>
      </w:r>
      <w:r>
        <w:rPr>
          <w:rFonts w:ascii="宋体" w:eastAsia="宋体" w:hAnsi="宋体" w:hint="eastAsia"/>
          <w:szCs w:val="21"/>
        </w:rPr>
        <w:t>为保证使用安全，需每层承重至少1</w:t>
      </w:r>
      <w:r>
        <w:rPr>
          <w:rFonts w:ascii="宋体" w:eastAsia="宋体" w:hAnsi="宋体"/>
          <w:szCs w:val="21"/>
        </w:rPr>
        <w:t>5</w:t>
      </w:r>
      <w:r>
        <w:rPr>
          <w:rFonts w:ascii="宋体" w:eastAsia="宋体" w:hAnsi="宋体" w:hint="eastAsia"/>
          <w:szCs w:val="21"/>
        </w:rPr>
        <w:t>kg，单列承重</w:t>
      </w:r>
      <w:r>
        <w:rPr>
          <w:rFonts w:ascii="宋体" w:eastAsia="宋体" w:hAnsi="宋体"/>
          <w:szCs w:val="21"/>
        </w:rPr>
        <w:t>220</w:t>
      </w:r>
      <w:r>
        <w:rPr>
          <w:rFonts w:ascii="宋体" w:eastAsia="宋体" w:hAnsi="宋体" w:hint="eastAsia"/>
          <w:szCs w:val="21"/>
        </w:rPr>
        <w:t>kg。</w:t>
      </w:r>
    </w:p>
    <w:p w:rsidR="00D40617" w:rsidRDefault="00D40617">
      <w:pPr>
        <w:ind w:firstLineChars="200" w:firstLine="420"/>
        <w:jc w:val="left"/>
        <w:rPr>
          <w:rFonts w:ascii="宋体" w:eastAsia="宋体" w:hAnsi="宋体"/>
          <w:szCs w:val="21"/>
        </w:rPr>
      </w:pPr>
      <w:r>
        <w:rPr>
          <w:rFonts w:ascii="宋体" w:eastAsia="宋体" w:hAnsi="宋体" w:hint="eastAsia"/>
          <w:szCs w:val="21"/>
        </w:rPr>
        <w:t>7</w:t>
      </w:r>
      <w:r>
        <w:rPr>
          <w:rFonts w:ascii="宋体" w:eastAsia="宋体" w:hAnsi="宋体"/>
          <w:szCs w:val="21"/>
        </w:rPr>
        <w:t>.</w:t>
      </w:r>
      <w:r>
        <w:rPr>
          <w:rFonts w:ascii="宋体" w:eastAsia="宋体" w:hAnsi="宋体" w:hint="eastAsia"/>
          <w:szCs w:val="21"/>
        </w:rPr>
        <w:t>器械架</w:t>
      </w:r>
      <w:r w:rsidR="00383B1F">
        <w:rPr>
          <w:rFonts w:ascii="宋体" w:eastAsia="宋体" w:hAnsi="宋体" w:hint="eastAsia"/>
          <w:szCs w:val="21"/>
        </w:rPr>
        <w:t>可按手术器械包厚度调节层高，设置可调节层高孔。</w:t>
      </w:r>
    </w:p>
    <w:p w:rsidR="00A62085" w:rsidRDefault="00383B1F">
      <w:pPr>
        <w:ind w:firstLineChars="200" w:firstLine="420"/>
        <w:jc w:val="left"/>
        <w:rPr>
          <w:rFonts w:ascii="宋体" w:eastAsia="宋体" w:hAnsi="宋体"/>
          <w:szCs w:val="21"/>
        </w:rPr>
      </w:pPr>
      <w:r>
        <w:rPr>
          <w:rFonts w:ascii="宋体" w:eastAsia="宋体" w:hAnsi="宋体"/>
          <w:szCs w:val="21"/>
        </w:rPr>
        <w:t>8.</w:t>
      </w:r>
      <w:r w:rsidR="002608F0">
        <w:rPr>
          <w:rFonts w:ascii="宋体" w:eastAsia="宋体" w:hAnsi="宋体" w:hint="eastAsia"/>
          <w:szCs w:val="21"/>
        </w:rPr>
        <w:t>供货安装期限：不超过2</w:t>
      </w:r>
      <w:r w:rsidR="008708FC">
        <w:rPr>
          <w:rFonts w:ascii="宋体" w:eastAsia="宋体" w:hAnsi="宋体"/>
          <w:szCs w:val="21"/>
        </w:rPr>
        <w:t>0</w:t>
      </w:r>
      <w:bookmarkStart w:id="1" w:name="_GoBack"/>
      <w:bookmarkEnd w:id="1"/>
      <w:r w:rsidR="002608F0">
        <w:rPr>
          <w:rFonts w:ascii="宋体" w:eastAsia="宋体" w:hAnsi="宋体" w:hint="eastAsia"/>
          <w:szCs w:val="21"/>
        </w:rPr>
        <w:t>天。</w:t>
      </w:r>
    </w:p>
    <w:p w:rsidR="001A2060" w:rsidRPr="001A2060" w:rsidRDefault="001A2060">
      <w:pPr>
        <w:ind w:firstLineChars="200" w:firstLine="420"/>
        <w:jc w:val="left"/>
        <w:rPr>
          <w:rFonts w:ascii="宋体" w:eastAsia="宋体" w:hAnsi="宋体"/>
          <w:szCs w:val="21"/>
        </w:rPr>
      </w:pPr>
      <w:r>
        <w:rPr>
          <w:rFonts w:ascii="宋体" w:eastAsia="宋体" w:hAnsi="宋体"/>
          <w:szCs w:val="21"/>
        </w:rPr>
        <w:t>9.</w:t>
      </w:r>
      <w:r>
        <w:rPr>
          <w:rFonts w:ascii="宋体" w:eastAsia="宋体" w:hAnsi="宋体" w:hint="eastAsia"/>
          <w:szCs w:val="21"/>
        </w:rPr>
        <w:t>质保期：不少于5年</w:t>
      </w:r>
    </w:p>
    <w:p w:rsidR="00E53FA4" w:rsidRDefault="00E53FA4">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2136E8">
        <w:rPr>
          <w:rFonts w:ascii="宋体" w:eastAsia="宋体" w:hAnsi="宋体"/>
          <w:szCs w:val="21"/>
        </w:rPr>
        <w:t>6</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tbl>
      <w:tblPr>
        <w:tblW w:w="8080" w:type="dxa"/>
        <w:tblLook w:val="04A0" w:firstRow="1" w:lastRow="0" w:firstColumn="1" w:lastColumn="0" w:noHBand="0" w:noVBand="1"/>
      </w:tblPr>
      <w:tblGrid>
        <w:gridCol w:w="1701"/>
        <w:gridCol w:w="1701"/>
        <w:gridCol w:w="851"/>
        <w:gridCol w:w="709"/>
        <w:gridCol w:w="1417"/>
        <w:gridCol w:w="1701"/>
      </w:tblGrid>
      <w:tr w:rsidR="00D41301" w:rsidTr="00D41301">
        <w:trPr>
          <w:trHeight w:val="284"/>
        </w:trPr>
        <w:tc>
          <w:tcPr>
            <w:tcW w:w="8080" w:type="dxa"/>
            <w:gridSpan w:val="6"/>
            <w:tcBorders>
              <w:top w:val="nil"/>
              <w:left w:val="nil"/>
              <w:bottom w:val="single" w:sz="4" w:space="0" w:color="auto"/>
              <w:right w:val="nil"/>
            </w:tcBorders>
          </w:tcPr>
          <w:p w:rsidR="00D41301" w:rsidRDefault="00D41301">
            <w:pPr>
              <w:widowControl/>
              <w:jc w:val="center"/>
              <w:rPr>
                <w:rFonts w:ascii="等线" w:eastAsia="等线" w:hAnsi="等线" w:cs="宋体"/>
                <w:color w:val="000000"/>
                <w:kern w:val="0"/>
                <w:szCs w:val="21"/>
              </w:rPr>
            </w:pPr>
            <w:r>
              <w:rPr>
                <w:rFonts w:ascii="等线" w:eastAsia="等线" w:hAnsi="等线" w:cs="宋体" w:hint="eastAsia"/>
                <w:color w:val="000000"/>
                <w:kern w:val="0"/>
                <w:sz w:val="28"/>
                <w:szCs w:val="21"/>
              </w:rPr>
              <w:t>报价单</w:t>
            </w:r>
          </w:p>
        </w:tc>
      </w:tr>
      <w:tr w:rsidR="00D41301" w:rsidTr="00D41301">
        <w:trPr>
          <w:trHeight w:val="573"/>
        </w:trPr>
        <w:tc>
          <w:tcPr>
            <w:tcW w:w="1701" w:type="dxa"/>
            <w:tcBorders>
              <w:top w:val="nil"/>
              <w:left w:val="single" w:sz="4" w:space="0" w:color="auto"/>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品名</w:t>
            </w:r>
          </w:p>
        </w:tc>
        <w:tc>
          <w:tcPr>
            <w:tcW w:w="1701" w:type="dxa"/>
            <w:tcBorders>
              <w:top w:val="nil"/>
              <w:left w:val="nil"/>
              <w:bottom w:val="single" w:sz="4" w:space="0" w:color="auto"/>
              <w:right w:val="single" w:sz="4" w:space="0" w:color="auto"/>
            </w:tcBorders>
            <w:shd w:val="clear" w:color="auto" w:fill="auto"/>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尺寸</w:t>
            </w:r>
          </w:p>
        </w:tc>
        <w:tc>
          <w:tcPr>
            <w:tcW w:w="851" w:type="dxa"/>
            <w:tcBorders>
              <w:top w:val="nil"/>
              <w:left w:val="nil"/>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数量</w:t>
            </w:r>
          </w:p>
        </w:tc>
        <w:tc>
          <w:tcPr>
            <w:tcW w:w="709" w:type="dxa"/>
            <w:tcBorders>
              <w:top w:val="single" w:sz="4" w:space="0" w:color="auto"/>
              <w:left w:val="nil"/>
              <w:bottom w:val="single" w:sz="4" w:space="0" w:color="auto"/>
              <w:right w:val="single" w:sz="4" w:space="0" w:color="auto"/>
            </w:tcBorders>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单位</w:t>
            </w:r>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单价</w:t>
            </w:r>
          </w:p>
        </w:tc>
        <w:tc>
          <w:tcPr>
            <w:tcW w:w="1701" w:type="dxa"/>
            <w:tcBorders>
              <w:top w:val="nil"/>
              <w:left w:val="single" w:sz="4" w:space="0" w:color="auto"/>
              <w:bottom w:val="single" w:sz="4" w:space="0" w:color="auto"/>
              <w:right w:val="single" w:sz="4" w:space="0" w:color="auto"/>
            </w:tcBorders>
            <w:vAlign w:val="center"/>
          </w:tcPr>
          <w:p w:rsidR="00D41301" w:rsidRDefault="00D41301" w:rsidP="00D41301">
            <w:pPr>
              <w:widowControl/>
              <w:jc w:val="center"/>
              <w:rPr>
                <w:rFonts w:ascii="楷体" w:eastAsia="楷体" w:hAnsi="楷体" w:cs="宋体"/>
                <w:color w:val="000000"/>
                <w:kern w:val="0"/>
                <w:sz w:val="18"/>
                <w:szCs w:val="18"/>
              </w:rPr>
            </w:pPr>
            <w:r>
              <w:rPr>
                <w:rFonts w:ascii="楷体" w:eastAsia="楷体" w:hAnsi="楷体" w:cs="宋体" w:hint="eastAsia"/>
                <w:color w:val="000000"/>
                <w:kern w:val="0"/>
                <w:sz w:val="18"/>
                <w:szCs w:val="18"/>
              </w:rPr>
              <w:t>合计</w:t>
            </w:r>
          </w:p>
        </w:tc>
      </w:tr>
      <w:tr w:rsidR="00D41301" w:rsidTr="00D41301">
        <w:trPr>
          <w:trHeight w:val="607"/>
        </w:trPr>
        <w:tc>
          <w:tcPr>
            <w:tcW w:w="1701" w:type="dxa"/>
            <w:tcBorders>
              <w:top w:val="nil"/>
              <w:left w:val="single" w:sz="4" w:space="0" w:color="auto"/>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304不锈钢货架</w:t>
            </w:r>
          </w:p>
        </w:tc>
        <w:tc>
          <w:tcPr>
            <w:tcW w:w="1701" w:type="dxa"/>
            <w:tcBorders>
              <w:top w:val="nil"/>
              <w:left w:val="nil"/>
              <w:bottom w:val="single" w:sz="4" w:space="0" w:color="auto"/>
              <w:right w:val="single" w:sz="4" w:space="0" w:color="auto"/>
            </w:tcBorders>
            <w:shd w:val="clear" w:color="auto" w:fill="auto"/>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2000*600*1890</w:t>
            </w:r>
          </w:p>
        </w:tc>
        <w:tc>
          <w:tcPr>
            <w:tcW w:w="851" w:type="dxa"/>
            <w:tcBorders>
              <w:top w:val="nil"/>
              <w:left w:val="nil"/>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r w:rsidRPr="001F695A">
              <w:rPr>
                <w:rFonts w:ascii="楷体" w:eastAsia="楷体" w:hAnsi="楷体" w:cs="宋体" w:hint="eastAsia"/>
                <w:color w:val="000000"/>
                <w:kern w:val="0"/>
                <w:sz w:val="18"/>
                <w:szCs w:val="18"/>
              </w:rPr>
              <w:t>17</w:t>
            </w:r>
          </w:p>
        </w:tc>
        <w:tc>
          <w:tcPr>
            <w:tcW w:w="709" w:type="dxa"/>
            <w:tcBorders>
              <w:top w:val="single" w:sz="4" w:space="0" w:color="auto"/>
              <w:left w:val="nil"/>
              <w:bottom w:val="single" w:sz="4" w:space="0" w:color="auto"/>
              <w:right w:val="single" w:sz="4" w:space="0" w:color="auto"/>
            </w:tcBorders>
            <w:vAlign w:val="center"/>
          </w:tcPr>
          <w:p w:rsidR="00D41301" w:rsidRPr="001F695A" w:rsidRDefault="00D41301" w:rsidP="00D41301">
            <w:pPr>
              <w:widowControl/>
              <w:jc w:val="center"/>
              <w:rPr>
                <w:rFonts w:ascii="楷体" w:eastAsia="楷体" w:hAnsi="楷体" w:cs="宋体"/>
                <w:color w:val="000000"/>
                <w:kern w:val="0"/>
                <w:sz w:val="18"/>
                <w:szCs w:val="18"/>
              </w:rPr>
            </w:pPr>
            <w:proofErr w:type="gramStart"/>
            <w:r w:rsidRPr="001F695A">
              <w:rPr>
                <w:rFonts w:ascii="楷体" w:eastAsia="楷体" w:hAnsi="楷体" w:cs="宋体" w:hint="eastAsia"/>
                <w:color w:val="000000"/>
                <w:kern w:val="0"/>
                <w:sz w:val="18"/>
                <w:szCs w:val="18"/>
              </w:rPr>
              <w:t>个</w:t>
            </w:r>
            <w:proofErr w:type="gramEnd"/>
          </w:p>
        </w:tc>
        <w:tc>
          <w:tcPr>
            <w:tcW w:w="1417" w:type="dxa"/>
            <w:tcBorders>
              <w:top w:val="nil"/>
              <w:left w:val="single" w:sz="4" w:space="0" w:color="auto"/>
              <w:bottom w:val="single" w:sz="4" w:space="0" w:color="auto"/>
              <w:right w:val="single" w:sz="4" w:space="0" w:color="auto"/>
            </w:tcBorders>
            <w:shd w:val="clear" w:color="auto" w:fill="auto"/>
            <w:noWrap/>
            <w:vAlign w:val="center"/>
          </w:tcPr>
          <w:p w:rsidR="00D41301" w:rsidRPr="001F695A" w:rsidRDefault="00D41301" w:rsidP="00D41301">
            <w:pPr>
              <w:widowControl/>
              <w:jc w:val="center"/>
              <w:rPr>
                <w:rFonts w:ascii="楷体" w:eastAsia="楷体" w:hAnsi="楷体" w:cs="宋体"/>
                <w:color w:val="000000"/>
                <w:kern w:val="0"/>
                <w:sz w:val="18"/>
                <w:szCs w:val="18"/>
              </w:rPr>
            </w:pPr>
          </w:p>
        </w:tc>
        <w:tc>
          <w:tcPr>
            <w:tcW w:w="1701" w:type="dxa"/>
            <w:tcBorders>
              <w:top w:val="nil"/>
              <w:left w:val="single" w:sz="4" w:space="0" w:color="auto"/>
              <w:bottom w:val="single" w:sz="4" w:space="0" w:color="auto"/>
              <w:right w:val="single" w:sz="4" w:space="0" w:color="auto"/>
            </w:tcBorders>
          </w:tcPr>
          <w:p w:rsidR="00D41301" w:rsidRPr="001F695A" w:rsidRDefault="00D41301" w:rsidP="00D41301">
            <w:pPr>
              <w:widowControl/>
              <w:jc w:val="center"/>
              <w:rPr>
                <w:rFonts w:ascii="楷体" w:eastAsia="楷体" w:hAnsi="楷体" w:cs="宋体"/>
                <w:color w:val="000000"/>
                <w:kern w:val="0"/>
                <w:sz w:val="18"/>
                <w:szCs w:val="18"/>
              </w:rPr>
            </w:pPr>
          </w:p>
        </w:tc>
      </w:tr>
      <w:tr w:rsidR="00D41301" w:rsidTr="002056BC">
        <w:trPr>
          <w:trHeight w:val="450"/>
        </w:trPr>
        <w:tc>
          <w:tcPr>
            <w:tcW w:w="8080" w:type="dxa"/>
            <w:gridSpan w:val="6"/>
            <w:tcBorders>
              <w:top w:val="single" w:sz="4" w:space="0" w:color="auto"/>
              <w:left w:val="single" w:sz="4" w:space="0" w:color="auto"/>
              <w:bottom w:val="single" w:sz="4" w:space="0" w:color="auto"/>
              <w:right w:val="single" w:sz="4" w:space="0" w:color="000000"/>
            </w:tcBorders>
            <w:vAlign w:val="center"/>
          </w:tcPr>
          <w:p w:rsidR="00D41301" w:rsidRDefault="00D41301">
            <w:pPr>
              <w:widowControl/>
              <w:jc w:val="left"/>
              <w:rPr>
                <w:rFonts w:ascii="等线" w:eastAsia="等线" w:hAnsi="等线" w:cs="宋体"/>
                <w:color w:val="000000"/>
                <w:kern w:val="0"/>
                <w:szCs w:val="21"/>
              </w:rPr>
            </w:pPr>
            <w:r>
              <w:rPr>
                <w:rFonts w:ascii="等线" w:eastAsia="等线" w:hAnsi="等线" w:cs="宋体" w:hint="eastAsia"/>
                <w:color w:val="000000"/>
                <w:kern w:val="0"/>
                <w:szCs w:val="21"/>
              </w:rPr>
              <w:t>总价：（大写金额）                      （小写金额）</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2E71C5">
              <w:rPr>
                <w:rFonts w:ascii="宋体" w:eastAsia="宋体" w:hAnsi="宋体"/>
                <w:szCs w:val="21"/>
              </w:rPr>
              <w:t>6</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具有有效的质量管理体系认证证书，得</w:t>
            </w:r>
            <w:r>
              <w:rPr>
                <w:rFonts w:ascii="宋体" w:eastAsia="宋体" w:hAnsi="宋体"/>
                <w:szCs w:val="21"/>
              </w:rPr>
              <w:t>2</w:t>
            </w:r>
            <w:r>
              <w:rPr>
                <w:rFonts w:ascii="宋体" w:eastAsia="宋体" w:hAnsi="宋体" w:hint="eastAsia"/>
                <w:szCs w:val="21"/>
              </w:rPr>
              <w:t>分；</w:t>
            </w:r>
          </w:p>
          <w:p w:rsidR="00A62085" w:rsidRDefault="0060159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867BFB">
              <w:rPr>
                <w:rFonts w:ascii="宋体" w:eastAsia="宋体" w:hAnsi="宋体" w:hint="eastAsia"/>
                <w:szCs w:val="21"/>
              </w:rPr>
              <w:t>每</w:t>
            </w:r>
            <w:r>
              <w:rPr>
                <w:rFonts w:ascii="宋体" w:eastAsia="宋体" w:hAnsi="宋体" w:hint="eastAsia"/>
                <w:szCs w:val="21"/>
              </w:rPr>
              <w:t>一项不满足</w:t>
            </w:r>
            <w:r w:rsidR="00867BFB">
              <w:rPr>
                <w:rFonts w:ascii="宋体" w:eastAsia="宋体" w:hAnsi="宋体" w:hint="eastAsia"/>
                <w:szCs w:val="21"/>
              </w:rPr>
              <w:t>扣3</w:t>
            </w:r>
            <w:r>
              <w:rPr>
                <w:rFonts w:ascii="宋体" w:eastAsia="宋体" w:hAnsi="宋体" w:hint="eastAsia"/>
                <w:szCs w:val="21"/>
              </w:rPr>
              <w:t>分</w:t>
            </w:r>
            <w:r w:rsidR="005F0124">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供货</w:t>
            </w:r>
            <w:r w:rsidR="009C3EE2">
              <w:rPr>
                <w:rFonts w:ascii="宋体" w:eastAsia="宋体" w:hAnsi="宋体" w:hint="eastAsia"/>
                <w:szCs w:val="21"/>
              </w:rPr>
              <w:t>安装</w:t>
            </w:r>
            <w:r>
              <w:rPr>
                <w:rFonts w:ascii="宋体" w:eastAsia="宋体" w:hAnsi="宋体" w:hint="eastAsia"/>
                <w:szCs w:val="21"/>
              </w:rPr>
              <w:t>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供应商应针对本项目提供供货</w:t>
            </w:r>
            <w:r w:rsidR="009C3EE2">
              <w:rPr>
                <w:rFonts w:ascii="宋体" w:eastAsia="宋体" w:hAnsi="宋体" w:hint="eastAsia"/>
                <w:szCs w:val="21"/>
              </w:rPr>
              <w:t>安装</w:t>
            </w:r>
            <w:r>
              <w:rPr>
                <w:rFonts w:ascii="宋体" w:eastAsia="宋体" w:hAnsi="宋体" w:hint="eastAsia"/>
                <w:szCs w:val="21"/>
              </w:rPr>
              <w:t>方案</w:t>
            </w:r>
          </w:p>
          <w:p w:rsidR="00A62085" w:rsidRDefault="007E3033">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A62085" w:rsidRDefault="007E3033">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lastRenderedPageBreak/>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4764A9">
        <w:rPr>
          <w:rFonts w:ascii="宋体" w:eastAsia="宋体" w:hAnsi="宋体"/>
          <w:szCs w:val="21"/>
        </w:rPr>
        <w:t>7</w:t>
      </w:r>
      <w:r>
        <w:rPr>
          <w:rFonts w:ascii="宋体" w:eastAsia="宋体" w:hAnsi="宋体" w:hint="eastAsia"/>
          <w:szCs w:val="21"/>
        </w:rPr>
        <w:t>月</w:t>
      </w:r>
      <w:r w:rsidR="00121D84">
        <w:rPr>
          <w:rFonts w:ascii="宋体" w:eastAsia="宋体" w:hAnsi="宋体"/>
          <w:szCs w:val="21"/>
        </w:rPr>
        <w:t>3</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121D84">
        <w:rPr>
          <w:rFonts w:ascii="宋体" w:eastAsia="宋体" w:hAnsi="宋体"/>
          <w:szCs w:val="21"/>
        </w:rPr>
        <w:t>7</w:t>
      </w:r>
      <w:r>
        <w:rPr>
          <w:rFonts w:ascii="宋体" w:eastAsia="宋体" w:hAnsi="宋体" w:hint="eastAsia"/>
          <w:szCs w:val="21"/>
        </w:rPr>
        <w:t>月</w:t>
      </w:r>
      <w:r w:rsidR="00121D84">
        <w:rPr>
          <w:rFonts w:ascii="宋体" w:eastAsia="宋体" w:hAnsi="宋体"/>
          <w:szCs w:val="21"/>
        </w:rPr>
        <w:t>3</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w:t>
      </w:r>
      <w:proofErr w:type="gramStart"/>
      <w:r>
        <w:rPr>
          <w:rFonts w:ascii="宋体" w:eastAsia="宋体" w:hAnsi="宋体" w:hint="eastAsia"/>
          <w:szCs w:val="21"/>
        </w:rPr>
        <w:t>仪大厦</w:t>
      </w:r>
      <w:proofErr w:type="gramEnd"/>
      <w:r>
        <w:rPr>
          <w:rFonts w:ascii="宋体" w:eastAsia="宋体" w:hAnsi="宋体"/>
          <w:szCs w:val="21"/>
        </w:rPr>
        <w:t>100</w:t>
      </w:r>
      <w:r w:rsidR="00FF0D1B">
        <w:rPr>
          <w:rFonts w:ascii="宋体" w:eastAsia="宋体" w:hAnsi="宋体"/>
          <w:szCs w:val="21"/>
        </w:rPr>
        <w:t>9</w:t>
      </w:r>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2368" w:rsidRDefault="00D02368">
      <w:r>
        <w:separator/>
      </w:r>
    </w:p>
  </w:endnote>
  <w:endnote w:type="continuationSeparator" w:id="0">
    <w:p w:rsidR="00D02368" w:rsidRDefault="00D0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2368" w:rsidRDefault="00D02368">
      <w:r>
        <w:separator/>
      </w:r>
    </w:p>
  </w:footnote>
  <w:footnote w:type="continuationSeparator" w:id="0">
    <w:p w:rsidR="00D02368" w:rsidRDefault="00D02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5813"/>
    <w:rsid w:val="000079DF"/>
    <w:rsid w:val="0001313A"/>
    <w:rsid w:val="000171C9"/>
    <w:rsid w:val="0002789D"/>
    <w:rsid w:val="000C5ABC"/>
    <w:rsid w:val="000D5F93"/>
    <w:rsid w:val="00107768"/>
    <w:rsid w:val="00120283"/>
    <w:rsid w:val="00120409"/>
    <w:rsid w:val="00121D84"/>
    <w:rsid w:val="0014064E"/>
    <w:rsid w:val="00186F83"/>
    <w:rsid w:val="00187637"/>
    <w:rsid w:val="001A2060"/>
    <w:rsid w:val="001B67CD"/>
    <w:rsid w:val="001C268B"/>
    <w:rsid w:val="001C36B9"/>
    <w:rsid w:val="001E2523"/>
    <w:rsid w:val="001E74DA"/>
    <w:rsid w:val="001E7684"/>
    <w:rsid w:val="001F695A"/>
    <w:rsid w:val="002056BC"/>
    <w:rsid w:val="002136E8"/>
    <w:rsid w:val="00215C80"/>
    <w:rsid w:val="0022198F"/>
    <w:rsid w:val="00232321"/>
    <w:rsid w:val="002340BA"/>
    <w:rsid w:val="00236F1E"/>
    <w:rsid w:val="00236FD4"/>
    <w:rsid w:val="0024172A"/>
    <w:rsid w:val="002442DF"/>
    <w:rsid w:val="002608F0"/>
    <w:rsid w:val="00260DDA"/>
    <w:rsid w:val="0026231B"/>
    <w:rsid w:val="002858F1"/>
    <w:rsid w:val="002A6BCB"/>
    <w:rsid w:val="002C2538"/>
    <w:rsid w:val="002D5BDD"/>
    <w:rsid w:val="002E71C5"/>
    <w:rsid w:val="002F3869"/>
    <w:rsid w:val="002F5B2E"/>
    <w:rsid w:val="00321B34"/>
    <w:rsid w:val="00330EE4"/>
    <w:rsid w:val="00363104"/>
    <w:rsid w:val="00377B14"/>
    <w:rsid w:val="003831F6"/>
    <w:rsid w:val="00383B1F"/>
    <w:rsid w:val="003B3290"/>
    <w:rsid w:val="003E74E8"/>
    <w:rsid w:val="003F5A3D"/>
    <w:rsid w:val="0040458D"/>
    <w:rsid w:val="00416DF9"/>
    <w:rsid w:val="00445753"/>
    <w:rsid w:val="004472BC"/>
    <w:rsid w:val="00460FE2"/>
    <w:rsid w:val="0046485F"/>
    <w:rsid w:val="004660C5"/>
    <w:rsid w:val="004764A9"/>
    <w:rsid w:val="00484A06"/>
    <w:rsid w:val="004A3A1C"/>
    <w:rsid w:val="004B00F1"/>
    <w:rsid w:val="004B206F"/>
    <w:rsid w:val="004C53DA"/>
    <w:rsid w:val="004D050B"/>
    <w:rsid w:val="004F387B"/>
    <w:rsid w:val="004F5E22"/>
    <w:rsid w:val="00521C12"/>
    <w:rsid w:val="005263CC"/>
    <w:rsid w:val="005377C3"/>
    <w:rsid w:val="005453F1"/>
    <w:rsid w:val="00583DFE"/>
    <w:rsid w:val="00585B3A"/>
    <w:rsid w:val="00595D04"/>
    <w:rsid w:val="005A350C"/>
    <w:rsid w:val="005B1D84"/>
    <w:rsid w:val="005D1B6B"/>
    <w:rsid w:val="005D7D22"/>
    <w:rsid w:val="005F0124"/>
    <w:rsid w:val="005F12B1"/>
    <w:rsid w:val="00601594"/>
    <w:rsid w:val="00610135"/>
    <w:rsid w:val="00630DEC"/>
    <w:rsid w:val="00637C79"/>
    <w:rsid w:val="00640332"/>
    <w:rsid w:val="006427E6"/>
    <w:rsid w:val="00643684"/>
    <w:rsid w:val="00645464"/>
    <w:rsid w:val="00646789"/>
    <w:rsid w:val="00653E5D"/>
    <w:rsid w:val="00663F60"/>
    <w:rsid w:val="00665C0B"/>
    <w:rsid w:val="00676D05"/>
    <w:rsid w:val="00692BDE"/>
    <w:rsid w:val="00694A2B"/>
    <w:rsid w:val="006971E7"/>
    <w:rsid w:val="00697595"/>
    <w:rsid w:val="006A74C0"/>
    <w:rsid w:val="006B4D40"/>
    <w:rsid w:val="006C3EF6"/>
    <w:rsid w:val="006C538D"/>
    <w:rsid w:val="007036A7"/>
    <w:rsid w:val="00704406"/>
    <w:rsid w:val="0071216A"/>
    <w:rsid w:val="00716864"/>
    <w:rsid w:val="0072034F"/>
    <w:rsid w:val="007211E5"/>
    <w:rsid w:val="00724C14"/>
    <w:rsid w:val="0073057E"/>
    <w:rsid w:val="007325D7"/>
    <w:rsid w:val="00756DB4"/>
    <w:rsid w:val="007833BB"/>
    <w:rsid w:val="007A3F81"/>
    <w:rsid w:val="007B4B78"/>
    <w:rsid w:val="007C4320"/>
    <w:rsid w:val="007E3033"/>
    <w:rsid w:val="008032A4"/>
    <w:rsid w:val="00806343"/>
    <w:rsid w:val="00814BE2"/>
    <w:rsid w:val="00814F7D"/>
    <w:rsid w:val="008257F9"/>
    <w:rsid w:val="00832E65"/>
    <w:rsid w:val="0085475B"/>
    <w:rsid w:val="00867BFB"/>
    <w:rsid w:val="008708FC"/>
    <w:rsid w:val="0087756E"/>
    <w:rsid w:val="008876F3"/>
    <w:rsid w:val="00892766"/>
    <w:rsid w:val="008A3E8A"/>
    <w:rsid w:val="008C5CF1"/>
    <w:rsid w:val="008D613F"/>
    <w:rsid w:val="008F41D7"/>
    <w:rsid w:val="00910266"/>
    <w:rsid w:val="009343B5"/>
    <w:rsid w:val="0095017D"/>
    <w:rsid w:val="009533DE"/>
    <w:rsid w:val="009536F7"/>
    <w:rsid w:val="00967514"/>
    <w:rsid w:val="0097691C"/>
    <w:rsid w:val="00990D35"/>
    <w:rsid w:val="009B40EF"/>
    <w:rsid w:val="009B69D9"/>
    <w:rsid w:val="009B729F"/>
    <w:rsid w:val="009C3EE2"/>
    <w:rsid w:val="009D0EB6"/>
    <w:rsid w:val="009E15C3"/>
    <w:rsid w:val="009F38CB"/>
    <w:rsid w:val="00A109F8"/>
    <w:rsid w:val="00A130BB"/>
    <w:rsid w:val="00A31442"/>
    <w:rsid w:val="00A45E9B"/>
    <w:rsid w:val="00A62085"/>
    <w:rsid w:val="00A66966"/>
    <w:rsid w:val="00A754FC"/>
    <w:rsid w:val="00AA3976"/>
    <w:rsid w:val="00AB72A0"/>
    <w:rsid w:val="00AD0187"/>
    <w:rsid w:val="00AD037B"/>
    <w:rsid w:val="00AD17D9"/>
    <w:rsid w:val="00AF0172"/>
    <w:rsid w:val="00B016D1"/>
    <w:rsid w:val="00B11E88"/>
    <w:rsid w:val="00B30530"/>
    <w:rsid w:val="00B343E0"/>
    <w:rsid w:val="00B352C8"/>
    <w:rsid w:val="00B4164D"/>
    <w:rsid w:val="00B521C9"/>
    <w:rsid w:val="00B53550"/>
    <w:rsid w:val="00B60D06"/>
    <w:rsid w:val="00B7097D"/>
    <w:rsid w:val="00B74DE7"/>
    <w:rsid w:val="00B81D93"/>
    <w:rsid w:val="00B82142"/>
    <w:rsid w:val="00BA1710"/>
    <w:rsid w:val="00BA38C4"/>
    <w:rsid w:val="00BB3909"/>
    <w:rsid w:val="00BC0646"/>
    <w:rsid w:val="00BC1CBD"/>
    <w:rsid w:val="00BC6DA4"/>
    <w:rsid w:val="00BC78AD"/>
    <w:rsid w:val="00BF04E3"/>
    <w:rsid w:val="00C03123"/>
    <w:rsid w:val="00C05D8A"/>
    <w:rsid w:val="00C07635"/>
    <w:rsid w:val="00C3372C"/>
    <w:rsid w:val="00C40559"/>
    <w:rsid w:val="00C44AE2"/>
    <w:rsid w:val="00C501B5"/>
    <w:rsid w:val="00C76EAC"/>
    <w:rsid w:val="00C77842"/>
    <w:rsid w:val="00C800F9"/>
    <w:rsid w:val="00C8379E"/>
    <w:rsid w:val="00C84C79"/>
    <w:rsid w:val="00CA5850"/>
    <w:rsid w:val="00CC0CBD"/>
    <w:rsid w:val="00D02368"/>
    <w:rsid w:val="00D04DB2"/>
    <w:rsid w:val="00D318F7"/>
    <w:rsid w:val="00D40617"/>
    <w:rsid w:val="00D41301"/>
    <w:rsid w:val="00D569E7"/>
    <w:rsid w:val="00D72ABD"/>
    <w:rsid w:val="00D81395"/>
    <w:rsid w:val="00DB2D2B"/>
    <w:rsid w:val="00DC1A5B"/>
    <w:rsid w:val="00DC1F43"/>
    <w:rsid w:val="00DD1EAC"/>
    <w:rsid w:val="00DE7687"/>
    <w:rsid w:val="00DF1414"/>
    <w:rsid w:val="00E10CEA"/>
    <w:rsid w:val="00E11D6C"/>
    <w:rsid w:val="00E14F86"/>
    <w:rsid w:val="00E53FA4"/>
    <w:rsid w:val="00E60126"/>
    <w:rsid w:val="00E65800"/>
    <w:rsid w:val="00E7421E"/>
    <w:rsid w:val="00E77497"/>
    <w:rsid w:val="00E77D53"/>
    <w:rsid w:val="00E9108F"/>
    <w:rsid w:val="00E92234"/>
    <w:rsid w:val="00E92377"/>
    <w:rsid w:val="00EA7669"/>
    <w:rsid w:val="00EE2845"/>
    <w:rsid w:val="00EF6ADE"/>
    <w:rsid w:val="00F12DD1"/>
    <w:rsid w:val="00F1332B"/>
    <w:rsid w:val="00F154F9"/>
    <w:rsid w:val="00F211DD"/>
    <w:rsid w:val="00F24810"/>
    <w:rsid w:val="00F52CCF"/>
    <w:rsid w:val="00F52DD6"/>
    <w:rsid w:val="00F5616E"/>
    <w:rsid w:val="00F6397B"/>
    <w:rsid w:val="00F72E45"/>
    <w:rsid w:val="00F73DB9"/>
    <w:rsid w:val="00F76F95"/>
    <w:rsid w:val="00F941A8"/>
    <w:rsid w:val="00FA6DCF"/>
    <w:rsid w:val="00FD1D46"/>
    <w:rsid w:val="00FE423B"/>
    <w:rsid w:val="00FF0D1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319CCBF"/>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8514626">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4D3D6-5B82-42E2-84C2-E8E4840A0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539</TotalTime>
  <Pages>4</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52</cp:revision>
  <cp:lastPrinted>2024-07-11T00:34:00Z</cp:lastPrinted>
  <dcterms:created xsi:type="dcterms:W3CDTF">2024-07-03T07:09:00Z</dcterms:created>
  <dcterms:modified xsi:type="dcterms:W3CDTF">2025-06-25T00:41:00Z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